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16"/>
        <w:gridCol w:w="1469"/>
        <w:gridCol w:w="5387"/>
        <w:gridCol w:w="567"/>
        <w:gridCol w:w="566"/>
        <w:gridCol w:w="993"/>
      </w:tblGrid>
      <w:tr w:rsidR="008E0B11" w:rsidRPr="00414541" w14:paraId="2D4EC37F" w14:textId="77777777" w:rsidTr="00961275">
        <w:tc>
          <w:tcPr>
            <w:tcW w:w="1985" w:type="dxa"/>
            <w:gridSpan w:val="2"/>
            <w:shd w:val="clear" w:color="auto" w:fill="auto"/>
          </w:tcPr>
          <w:p w14:paraId="08289003" w14:textId="77777777" w:rsidR="008E0B11" w:rsidRPr="00414541" w:rsidRDefault="008E0B11" w:rsidP="00CC65B4">
            <w:pPr>
              <w:pStyle w:val="Headerdetails"/>
              <w:rPr>
                <w:b/>
                <w:sz w:val="20"/>
                <w:szCs w:val="20"/>
              </w:rPr>
            </w:pPr>
            <w:r w:rsidRPr="00414541">
              <w:rPr>
                <w:b/>
                <w:sz w:val="20"/>
                <w:szCs w:val="20"/>
              </w:rPr>
              <w:t>Meeting title:</w:t>
            </w:r>
          </w:p>
        </w:tc>
        <w:tc>
          <w:tcPr>
            <w:tcW w:w="7513" w:type="dxa"/>
            <w:gridSpan w:val="4"/>
            <w:shd w:val="clear" w:color="auto" w:fill="auto"/>
          </w:tcPr>
          <w:p w14:paraId="17297A8A" w14:textId="77777777" w:rsidR="008E0B11" w:rsidRPr="00414541" w:rsidRDefault="007C77C7" w:rsidP="00C36212">
            <w:pPr>
              <w:pStyle w:val="Headerdetails"/>
              <w:rPr>
                <w:sz w:val="20"/>
                <w:szCs w:val="20"/>
              </w:rPr>
            </w:pPr>
            <w:r w:rsidRPr="00414541">
              <w:rPr>
                <w:sz w:val="20"/>
                <w:szCs w:val="20"/>
              </w:rPr>
              <w:t>Nutrition and Cancer NIHR infrastructure collaboration Steering Committee</w:t>
            </w:r>
          </w:p>
        </w:tc>
      </w:tr>
      <w:tr w:rsidR="008E0B11" w:rsidRPr="00414541" w14:paraId="3FD63498" w14:textId="77777777" w:rsidTr="00961275">
        <w:tc>
          <w:tcPr>
            <w:tcW w:w="1985" w:type="dxa"/>
            <w:gridSpan w:val="2"/>
            <w:shd w:val="clear" w:color="auto" w:fill="auto"/>
          </w:tcPr>
          <w:p w14:paraId="41AE9DED" w14:textId="77777777" w:rsidR="008E0B11" w:rsidRPr="00414541" w:rsidRDefault="008E0B11" w:rsidP="00CC65B4">
            <w:pPr>
              <w:pStyle w:val="Headerdetails"/>
              <w:rPr>
                <w:b/>
                <w:sz w:val="20"/>
                <w:szCs w:val="20"/>
              </w:rPr>
            </w:pPr>
            <w:r w:rsidRPr="00414541">
              <w:rPr>
                <w:b/>
                <w:sz w:val="20"/>
                <w:szCs w:val="20"/>
              </w:rPr>
              <w:t>Date:</w:t>
            </w:r>
            <w:r w:rsidR="00825103" w:rsidRPr="00414541">
              <w:rPr>
                <w:b/>
                <w:sz w:val="20"/>
                <w:szCs w:val="20"/>
              </w:rPr>
              <w:t xml:space="preserve"> </w:t>
            </w:r>
          </w:p>
        </w:tc>
        <w:tc>
          <w:tcPr>
            <w:tcW w:w="5387" w:type="dxa"/>
            <w:shd w:val="clear" w:color="auto" w:fill="auto"/>
          </w:tcPr>
          <w:p w14:paraId="62ED6F2D" w14:textId="77777777" w:rsidR="008E0B11" w:rsidRPr="00414541" w:rsidRDefault="007C77C7" w:rsidP="00D30C2C">
            <w:pPr>
              <w:pStyle w:val="Headerdetails"/>
              <w:rPr>
                <w:sz w:val="20"/>
                <w:szCs w:val="20"/>
              </w:rPr>
            </w:pPr>
            <w:r w:rsidRPr="00414541">
              <w:rPr>
                <w:sz w:val="20"/>
                <w:szCs w:val="20"/>
              </w:rPr>
              <w:t>26</w:t>
            </w:r>
            <w:r w:rsidR="00EB5CD1" w:rsidRPr="00414541">
              <w:rPr>
                <w:sz w:val="20"/>
                <w:szCs w:val="20"/>
                <w:vertAlign w:val="superscript"/>
              </w:rPr>
              <w:t>th</w:t>
            </w:r>
            <w:r w:rsidRPr="00414541">
              <w:rPr>
                <w:sz w:val="20"/>
                <w:szCs w:val="20"/>
              </w:rPr>
              <w:t xml:space="preserve"> February 2015</w:t>
            </w:r>
            <w:r w:rsidR="00EB5CD1" w:rsidRPr="00414541">
              <w:rPr>
                <w:sz w:val="20"/>
                <w:szCs w:val="20"/>
              </w:rPr>
              <w:t xml:space="preserve"> </w:t>
            </w:r>
          </w:p>
        </w:tc>
        <w:tc>
          <w:tcPr>
            <w:tcW w:w="567" w:type="dxa"/>
            <w:shd w:val="clear" w:color="auto" w:fill="auto"/>
          </w:tcPr>
          <w:p w14:paraId="49CF08A2" w14:textId="77777777" w:rsidR="008E0B11" w:rsidRPr="00414541" w:rsidRDefault="008E0B11" w:rsidP="00CC65B4">
            <w:pPr>
              <w:pStyle w:val="Headerdetails"/>
              <w:rPr>
                <w:b/>
                <w:sz w:val="20"/>
                <w:szCs w:val="20"/>
              </w:rPr>
            </w:pPr>
            <w:r w:rsidRPr="00414541">
              <w:rPr>
                <w:b/>
                <w:sz w:val="20"/>
                <w:szCs w:val="20"/>
              </w:rPr>
              <w:t>Time:</w:t>
            </w:r>
          </w:p>
        </w:tc>
        <w:tc>
          <w:tcPr>
            <w:tcW w:w="1559" w:type="dxa"/>
            <w:gridSpan w:val="2"/>
            <w:shd w:val="clear" w:color="auto" w:fill="auto"/>
          </w:tcPr>
          <w:p w14:paraId="268B0F49" w14:textId="77777777" w:rsidR="008E0B11" w:rsidRPr="00414541" w:rsidRDefault="00151C6D" w:rsidP="005204F5">
            <w:pPr>
              <w:pStyle w:val="Headerdetails"/>
              <w:rPr>
                <w:sz w:val="20"/>
                <w:szCs w:val="20"/>
              </w:rPr>
            </w:pPr>
            <w:r w:rsidRPr="00414541">
              <w:rPr>
                <w:sz w:val="20"/>
                <w:szCs w:val="20"/>
              </w:rPr>
              <w:t xml:space="preserve"> </w:t>
            </w:r>
            <w:r w:rsidR="00EA475A" w:rsidRPr="00414541">
              <w:rPr>
                <w:sz w:val="20"/>
                <w:szCs w:val="20"/>
              </w:rPr>
              <w:t>1</w:t>
            </w:r>
            <w:r w:rsidR="00EB5CD1" w:rsidRPr="00414541">
              <w:rPr>
                <w:sz w:val="20"/>
                <w:szCs w:val="20"/>
              </w:rPr>
              <w:t>1am</w:t>
            </w:r>
            <w:r w:rsidR="007C77C7" w:rsidRPr="00414541">
              <w:rPr>
                <w:sz w:val="20"/>
                <w:szCs w:val="20"/>
              </w:rPr>
              <w:t>-1pm</w:t>
            </w:r>
          </w:p>
        </w:tc>
      </w:tr>
      <w:tr w:rsidR="008E0B11" w:rsidRPr="00414541" w14:paraId="563FA6AC" w14:textId="77777777" w:rsidTr="00961275">
        <w:tc>
          <w:tcPr>
            <w:tcW w:w="1985" w:type="dxa"/>
            <w:gridSpan w:val="2"/>
            <w:shd w:val="clear" w:color="auto" w:fill="auto"/>
          </w:tcPr>
          <w:p w14:paraId="17AC733A" w14:textId="77777777" w:rsidR="008E0B11" w:rsidRPr="00414541" w:rsidRDefault="008E0B11" w:rsidP="00CC65B4">
            <w:pPr>
              <w:pStyle w:val="Headerdetails"/>
              <w:rPr>
                <w:b/>
                <w:sz w:val="20"/>
                <w:szCs w:val="20"/>
              </w:rPr>
            </w:pPr>
            <w:r w:rsidRPr="00414541">
              <w:rPr>
                <w:b/>
                <w:sz w:val="20"/>
                <w:szCs w:val="20"/>
              </w:rPr>
              <w:t>Location:</w:t>
            </w:r>
            <w:r w:rsidR="00825103" w:rsidRPr="00414541">
              <w:rPr>
                <w:b/>
                <w:sz w:val="20"/>
                <w:szCs w:val="20"/>
              </w:rPr>
              <w:t xml:space="preserve"> </w:t>
            </w:r>
          </w:p>
        </w:tc>
        <w:tc>
          <w:tcPr>
            <w:tcW w:w="7513" w:type="dxa"/>
            <w:gridSpan w:val="4"/>
            <w:shd w:val="clear" w:color="auto" w:fill="auto"/>
          </w:tcPr>
          <w:p w14:paraId="4DCD40E6" w14:textId="77777777" w:rsidR="008E0B11" w:rsidRPr="00414541" w:rsidRDefault="007C77C7" w:rsidP="00CC65B4">
            <w:pPr>
              <w:pStyle w:val="Headerdetails"/>
              <w:rPr>
                <w:sz w:val="20"/>
                <w:szCs w:val="20"/>
              </w:rPr>
            </w:pPr>
            <w:r w:rsidRPr="00414541">
              <w:rPr>
                <w:sz w:val="20"/>
                <w:szCs w:val="20"/>
              </w:rPr>
              <w:t>WCRF, Bedford Square, London</w:t>
            </w:r>
          </w:p>
        </w:tc>
      </w:tr>
      <w:tr w:rsidR="004027BA" w:rsidRPr="00414541" w14:paraId="4F4891F3" w14:textId="77777777" w:rsidTr="00961275">
        <w:trPr>
          <w:trHeight w:val="1103"/>
        </w:trPr>
        <w:tc>
          <w:tcPr>
            <w:tcW w:w="1985" w:type="dxa"/>
            <w:gridSpan w:val="2"/>
            <w:shd w:val="clear" w:color="auto" w:fill="auto"/>
          </w:tcPr>
          <w:p w14:paraId="62E9FCA2" w14:textId="77777777" w:rsidR="004027BA" w:rsidRPr="00414541" w:rsidRDefault="004027BA" w:rsidP="00825103">
            <w:pPr>
              <w:pStyle w:val="Headerdetails"/>
              <w:rPr>
                <w:b/>
                <w:sz w:val="20"/>
                <w:szCs w:val="20"/>
              </w:rPr>
            </w:pPr>
            <w:r w:rsidRPr="00414541">
              <w:rPr>
                <w:b/>
                <w:sz w:val="20"/>
                <w:szCs w:val="20"/>
              </w:rPr>
              <w:t xml:space="preserve">Present: </w:t>
            </w:r>
          </w:p>
        </w:tc>
        <w:tc>
          <w:tcPr>
            <w:tcW w:w="7513" w:type="dxa"/>
            <w:gridSpan w:val="4"/>
            <w:shd w:val="clear" w:color="auto" w:fill="auto"/>
          </w:tcPr>
          <w:p w14:paraId="458DBF1F" w14:textId="77777777" w:rsidR="004027BA" w:rsidRPr="00414541" w:rsidRDefault="004027BA" w:rsidP="00C36212">
            <w:pPr>
              <w:pStyle w:val="Headerdetails"/>
              <w:rPr>
                <w:sz w:val="20"/>
                <w:szCs w:val="20"/>
              </w:rPr>
            </w:pPr>
            <w:r w:rsidRPr="00414541">
              <w:rPr>
                <w:sz w:val="20"/>
                <w:szCs w:val="20"/>
              </w:rPr>
              <w:t>Prof Alan Jackson (AAJ) – Chair</w:t>
            </w:r>
          </w:p>
          <w:p w14:paraId="69E9F428" w14:textId="77777777" w:rsidR="004027BA" w:rsidRPr="00414541" w:rsidRDefault="004027BA" w:rsidP="004027BA">
            <w:pPr>
              <w:pStyle w:val="Headerdetails"/>
              <w:rPr>
                <w:sz w:val="20"/>
                <w:szCs w:val="20"/>
              </w:rPr>
            </w:pPr>
            <w:r w:rsidRPr="00414541">
              <w:rPr>
                <w:sz w:val="20"/>
                <w:szCs w:val="20"/>
              </w:rPr>
              <w:t>Kate Allen (KA)</w:t>
            </w:r>
            <w:r w:rsidR="00370C5C">
              <w:rPr>
                <w:sz w:val="20"/>
                <w:szCs w:val="20"/>
              </w:rPr>
              <w:t xml:space="preserve">, </w:t>
            </w:r>
            <w:r w:rsidRPr="00414541">
              <w:rPr>
                <w:sz w:val="20"/>
                <w:szCs w:val="20"/>
              </w:rPr>
              <w:t>Leanne Black (LB</w:t>
            </w:r>
            <w:r w:rsidR="00370C5C">
              <w:rPr>
                <w:sz w:val="20"/>
                <w:szCs w:val="20"/>
              </w:rPr>
              <w:t xml:space="preserve">), </w:t>
            </w:r>
            <w:r w:rsidRPr="00414541">
              <w:rPr>
                <w:sz w:val="20"/>
                <w:szCs w:val="20"/>
              </w:rPr>
              <w:t>Carrie Bolt (CB)</w:t>
            </w:r>
            <w:r w:rsidR="00370C5C">
              <w:rPr>
                <w:sz w:val="20"/>
                <w:szCs w:val="20"/>
              </w:rPr>
              <w:t xml:space="preserve">, </w:t>
            </w:r>
            <w:r w:rsidRPr="00414541">
              <w:rPr>
                <w:sz w:val="20"/>
                <w:szCs w:val="20"/>
              </w:rPr>
              <w:t>Karen Brown (KB)</w:t>
            </w:r>
            <w:r w:rsidR="00370C5C">
              <w:rPr>
                <w:sz w:val="20"/>
                <w:szCs w:val="20"/>
              </w:rPr>
              <w:t xml:space="preserve">, </w:t>
            </w:r>
            <w:r w:rsidRPr="00414541">
              <w:rPr>
                <w:sz w:val="20"/>
                <w:szCs w:val="20"/>
              </w:rPr>
              <w:t>Ramsey Cutress (RC)</w:t>
            </w:r>
            <w:r w:rsidR="00370C5C">
              <w:rPr>
                <w:sz w:val="20"/>
                <w:szCs w:val="20"/>
              </w:rPr>
              <w:t xml:space="preserve">, </w:t>
            </w:r>
            <w:r w:rsidRPr="00414541">
              <w:rPr>
                <w:sz w:val="20"/>
                <w:szCs w:val="20"/>
              </w:rPr>
              <w:t>Matthew Hallsworth (MH)</w:t>
            </w:r>
            <w:r w:rsidR="00370C5C">
              <w:rPr>
                <w:sz w:val="20"/>
                <w:szCs w:val="20"/>
              </w:rPr>
              <w:t xml:space="preserve">, </w:t>
            </w:r>
            <w:r w:rsidRPr="00414541">
              <w:rPr>
                <w:sz w:val="20"/>
                <w:szCs w:val="20"/>
              </w:rPr>
              <w:t>Arabella Hayter (AH)</w:t>
            </w:r>
            <w:r w:rsidR="00370C5C">
              <w:rPr>
                <w:sz w:val="20"/>
                <w:szCs w:val="20"/>
              </w:rPr>
              <w:t xml:space="preserve">, </w:t>
            </w:r>
            <w:r w:rsidRPr="00414541">
              <w:rPr>
                <w:sz w:val="20"/>
                <w:szCs w:val="20"/>
              </w:rPr>
              <w:t>Elio Riboli (ER</w:t>
            </w:r>
            <w:r w:rsidR="00370C5C">
              <w:rPr>
                <w:sz w:val="20"/>
                <w:szCs w:val="20"/>
              </w:rPr>
              <w:t xml:space="preserve">), </w:t>
            </w:r>
            <w:r w:rsidRPr="00414541">
              <w:rPr>
                <w:sz w:val="20"/>
                <w:szCs w:val="20"/>
              </w:rPr>
              <w:t>Lesley Turner (LT)</w:t>
            </w:r>
            <w:r w:rsidR="00370C5C">
              <w:rPr>
                <w:sz w:val="20"/>
                <w:szCs w:val="20"/>
              </w:rPr>
              <w:t xml:space="preserve">, </w:t>
            </w:r>
            <w:r w:rsidRPr="00414541">
              <w:rPr>
                <w:sz w:val="20"/>
                <w:szCs w:val="20"/>
              </w:rPr>
              <w:t>Martin Wiseman (MJW)</w:t>
            </w:r>
          </w:p>
        </w:tc>
      </w:tr>
      <w:tr w:rsidR="00370C5C" w:rsidRPr="00414541" w14:paraId="2FE91BDB" w14:textId="77777777" w:rsidTr="00961275">
        <w:tc>
          <w:tcPr>
            <w:tcW w:w="1985" w:type="dxa"/>
            <w:gridSpan w:val="2"/>
            <w:shd w:val="clear" w:color="auto" w:fill="auto"/>
          </w:tcPr>
          <w:p w14:paraId="2E13F4F0" w14:textId="77777777" w:rsidR="00370C5C" w:rsidRPr="00414541" w:rsidRDefault="00370C5C" w:rsidP="00370C5C">
            <w:pPr>
              <w:pStyle w:val="Headerdetails"/>
              <w:rPr>
                <w:sz w:val="20"/>
                <w:szCs w:val="20"/>
              </w:rPr>
            </w:pPr>
            <w:r w:rsidRPr="00414541">
              <w:rPr>
                <w:b/>
                <w:sz w:val="20"/>
                <w:szCs w:val="20"/>
              </w:rPr>
              <w:t xml:space="preserve">Apologies: </w:t>
            </w:r>
          </w:p>
        </w:tc>
        <w:tc>
          <w:tcPr>
            <w:tcW w:w="7513" w:type="dxa"/>
            <w:gridSpan w:val="4"/>
            <w:shd w:val="clear" w:color="auto" w:fill="auto"/>
          </w:tcPr>
          <w:p w14:paraId="4EA876F9" w14:textId="77777777" w:rsidR="00370C5C" w:rsidRPr="00414541" w:rsidRDefault="00370C5C" w:rsidP="00531217">
            <w:pPr>
              <w:pStyle w:val="Headerdetails"/>
              <w:rPr>
                <w:sz w:val="20"/>
                <w:szCs w:val="20"/>
              </w:rPr>
            </w:pPr>
            <w:r w:rsidRPr="00414541">
              <w:rPr>
                <w:sz w:val="20"/>
                <w:szCs w:val="20"/>
              </w:rPr>
              <w:t xml:space="preserve">Lucy Allen (LA), Helen Campbell (HC), </w:t>
            </w:r>
            <w:r>
              <w:rPr>
                <w:sz w:val="20"/>
                <w:szCs w:val="20"/>
              </w:rPr>
              <w:t xml:space="preserve">Anne Helme (AH), </w:t>
            </w:r>
            <w:r w:rsidRPr="00414541">
              <w:rPr>
                <w:sz w:val="20"/>
                <w:szCs w:val="20"/>
              </w:rPr>
              <w:t>Richard Martin (RM), Steve Wootton (SAW), Yi Lu (YL)</w:t>
            </w:r>
          </w:p>
        </w:tc>
      </w:tr>
      <w:tr w:rsidR="005204F5" w:rsidRPr="00414541" w14:paraId="1A1AA9F3" w14:textId="77777777" w:rsidTr="006E0949">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1CDE5B88" w14:textId="77777777" w:rsidR="005204F5" w:rsidRPr="00414541" w:rsidRDefault="005204F5" w:rsidP="00CC65B4">
            <w:pPr>
              <w:rPr>
                <w:b/>
                <w:sz w:val="20"/>
                <w:szCs w:val="20"/>
              </w:rPr>
            </w:pPr>
          </w:p>
        </w:tc>
        <w:tc>
          <w:tcPr>
            <w:tcW w:w="7989" w:type="dxa"/>
            <w:gridSpan w:val="4"/>
            <w:shd w:val="clear" w:color="auto" w:fill="auto"/>
          </w:tcPr>
          <w:p w14:paraId="196A2203" w14:textId="77777777" w:rsidR="005204F5" w:rsidRDefault="005204F5" w:rsidP="00EA475A">
            <w:pPr>
              <w:spacing w:after="120" w:line="240" w:lineRule="auto"/>
              <w:rPr>
                <w:b/>
                <w:sz w:val="20"/>
                <w:szCs w:val="20"/>
              </w:rPr>
            </w:pPr>
            <w:r w:rsidRPr="00414541">
              <w:rPr>
                <w:b/>
                <w:sz w:val="20"/>
                <w:szCs w:val="20"/>
              </w:rPr>
              <w:t>Welcome and apologies</w:t>
            </w:r>
          </w:p>
          <w:p w14:paraId="17A78A02" w14:textId="1336A6D3" w:rsidR="00335C18" w:rsidRPr="00414541" w:rsidRDefault="00335C18" w:rsidP="00335C18">
            <w:pPr>
              <w:spacing w:after="120" w:line="240" w:lineRule="auto"/>
              <w:rPr>
                <w:b/>
                <w:sz w:val="20"/>
                <w:szCs w:val="20"/>
              </w:rPr>
            </w:pPr>
            <w:r>
              <w:rPr>
                <w:sz w:val="20"/>
                <w:szCs w:val="20"/>
              </w:rPr>
              <w:t>AAJ opened the meeting and thanked everyone for coming.  Leanne Black (LB) attend</w:t>
            </w:r>
            <w:r w:rsidR="007A70C2">
              <w:rPr>
                <w:sz w:val="20"/>
                <w:szCs w:val="20"/>
              </w:rPr>
              <w:t>ed</w:t>
            </w:r>
            <w:r>
              <w:rPr>
                <w:sz w:val="20"/>
                <w:szCs w:val="20"/>
              </w:rPr>
              <w:t xml:space="preserve"> in place of Rowena Sharpe (Royal Marsden BRC).  </w:t>
            </w:r>
            <w:r>
              <w:rPr>
                <w:b/>
                <w:sz w:val="20"/>
                <w:szCs w:val="20"/>
              </w:rPr>
              <w:t xml:space="preserve"> </w:t>
            </w:r>
          </w:p>
        </w:tc>
        <w:tc>
          <w:tcPr>
            <w:tcW w:w="993" w:type="dxa"/>
            <w:shd w:val="clear" w:color="auto" w:fill="auto"/>
          </w:tcPr>
          <w:p w14:paraId="11663C0E" w14:textId="77777777" w:rsidR="005204F5" w:rsidRPr="00414541" w:rsidRDefault="005204F5" w:rsidP="00CC65B4">
            <w:pPr>
              <w:rPr>
                <w:b/>
                <w:sz w:val="20"/>
                <w:szCs w:val="20"/>
              </w:rPr>
            </w:pPr>
            <w:r w:rsidRPr="00414541">
              <w:rPr>
                <w:b/>
                <w:sz w:val="20"/>
                <w:szCs w:val="20"/>
              </w:rPr>
              <w:t>Action</w:t>
            </w:r>
          </w:p>
        </w:tc>
      </w:tr>
      <w:tr w:rsidR="005204F5" w:rsidRPr="00414541" w14:paraId="00F9859C" w14:textId="77777777" w:rsidTr="006E0949">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0BF67FFC" w14:textId="77777777" w:rsidR="005204F5" w:rsidRPr="00414541" w:rsidRDefault="005204F5" w:rsidP="00CC65B4">
            <w:pPr>
              <w:rPr>
                <w:b/>
                <w:sz w:val="20"/>
                <w:szCs w:val="20"/>
              </w:rPr>
            </w:pPr>
            <w:r w:rsidRPr="00414541">
              <w:rPr>
                <w:b/>
                <w:sz w:val="20"/>
                <w:szCs w:val="20"/>
              </w:rPr>
              <w:t>1.</w:t>
            </w:r>
          </w:p>
        </w:tc>
        <w:tc>
          <w:tcPr>
            <w:tcW w:w="7989" w:type="dxa"/>
            <w:gridSpan w:val="4"/>
            <w:shd w:val="clear" w:color="auto" w:fill="auto"/>
          </w:tcPr>
          <w:p w14:paraId="0A989C93" w14:textId="77777777" w:rsidR="00AF41B7" w:rsidRDefault="005204F5" w:rsidP="00F90CB7">
            <w:pPr>
              <w:spacing w:after="120" w:line="240" w:lineRule="auto"/>
              <w:rPr>
                <w:sz w:val="20"/>
                <w:szCs w:val="20"/>
              </w:rPr>
            </w:pPr>
            <w:r w:rsidRPr="00414541">
              <w:rPr>
                <w:b/>
                <w:sz w:val="20"/>
                <w:szCs w:val="20"/>
              </w:rPr>
              <w:t>Previous minutes and matters arising</w:t>
            </w:r>
          </w:p>
          <w:p w14:paraId="1BBB6575" w14:textId="77777777" w:rsidR="00335C18" w:rsidRPr="00335C18" w:rsidRDefault="00335C18" w:rsidP="00F90CB7">
            <w:pPr>
              <w:spacing w:after="120" w:line="240" w:lineRule="auto"/>
              <w:rPr>
                <w:sz w:val="20"/>
                <w:szCs w:val="20"/>
              </w:rPr>
            </w:pPr>
            <w:r>
              <w:rPr>
                <w:sz w:val="20"/>
                <w:szCs w:val="20"/>
              </w:rPr>
              <w:t>The minutes from the last meeting (September 24</w:t>
            </w:r>
            <w:r w:rsidRPr="00335C18">
              <w:rPr>
                <w:sz w:val="20"/>
                <w:szCs w:val="20"/>
                <w:vertAlign w:val="superscript"/>
              </w:rPr>
              <w:t>th</w:t>
            </w:r>
            <w:r>
              <w:rPr>
                <w:sz w:val="20"/>
                <w:szCs w:val="20"/>
              </w:rPr>
              <w:t xml:space="preserve"> 2014) were agreed with no amendments. </w:t>
            </w:r>
          </w:p>
          <w:p w14:paraId="7F2FF9DD" w14:textId="77777777" w:rsidR="00F90CB7" w:rsidRDefault="00F90CB7" w:rsidP="00F90CB7">
            <w:pPr>
              <w:pStyle w:val="ColorfulList-Accent11"/>
              <w:numPr>
                <w:ilvl w:val="1"/>
                <w:numId w:val="15"/>
              </w:numPr>
              <w:rPr>
                <w:rFonts w:ascii="Lucida Sans" w:hAnsi="Lucida Sans"/>
                <w:sz w:val="20"/>
                <w:szCs w:val="20"/>
              </w:rPr>
            </w:pPr>
            <w:r w:rsidRPr="00414541">
              <w:rPr>
                <w:rFonts w:ascii="Lucida Sans" w:hAnsi="Lucida Sans"/>
                <w:sz w:val="20"/>
                <w:szCs w:val="20"/>
              </w:rPr>
              <w:t>Time</w:t>
            </w:r>
            <w:r w:rsidR="00335C18">
              <w:rPr>
                <w:rFonts w:ascii="Lucida Sans" w:hAnsi="Lucida Sans"/>
                <w:sz w:val="20"/>
                <w:szCs w:val="20"/>
              </w:rPr>
              <w:t>line and update of progress</w:t>
            </w:r>
            <w:r w:rsidRPr="00414541">
              <w:rPr>
                <w:rFonts w:ascii="Lucida Sans" w:hAnsi="Lucida Sans"/>
                <w:sz w:val="20"/>
                <w:szCs w:val="20"/>
              </w:rPr>
              <w:t xml:space="preserve"> </w:t>
            </w:r>
          </w:p>
          <w:p w14:paraId="6E91949C" w14:textId="77777777" w:rsidR="0025187F" w:rsidRDefault="0025187F" w:rsidP="0025187F">
            <w:pPr>
              <w:pStyle w:val="ColorfulList-Accent11"/>
              <w:ind w:left="0"/>
              <w:rPr>
                <w:rFonts w:ascii="Lucida Sans" w:hAnsi="Lucida Sans"/>
                <w:sz w:val="20"/>
                <w:szCs w:val="20"/>
              </w:rPr>
            </w:pPr>
            <w:r>
              <w:rPr>
                <w:rFonts w:ascii="Lucida Sans" w:hAnsi="Lucida Sans"/>
                <w:sz w:val="20"/>
                <w:szCs w:val="20"/>
              </w:rPr>
              <w:t xml:space="preserve">AKMH </w:t>
            </w:r>
            <w:r w:rsidR="00443426">
              <w:rPr>
                <w:rFonts w:ascii="Lucida Sans" w:hAnsi="Lucida Sans"/>
                <w:sz w:val="20"/>
                <w:szCs w:val="20"/>
              </w:rPr>
              <w:t xml:space="preserve">presented the </w:t>
            </w:r>
            <w:r w:rsidR="00335C18">
              <w:rPr>
                <w:rFonts w:ascii="Lucida Sans" w:hAnsi="Lucida Sans"/>
                <w:sz w:val="20"/>
                <w:szCs w:val="20"/>
              </w:rPr>
              <w:t xml:space="preserve">Gantt chart and </w:t>
            </w:r>
            <w:r>
              <w:rPr>
                <w:rFonts w:ascii="Lucida Sans" w:hAnsi="Lucida Sans"/>
                <w:sz w:val="20"/>
                <w:szCs w:val="20"/>
              </w:rPr>
              <w:t xml:space="preserve">highlighted </w:t>
            </w:r>
            <w:r w:rsidR="00335C18">
              <w:rPr>
                <w:rFonts w:ascii="Lucida Sans" w:hAnsi="Lucida Sans"/>
                <w:sz w:val="20"/>
                <w:szCs w:val="20"/>
              </w:rPr>
              <w:t xml:space="preserve">notable </w:t>
            </w:r>
            <w:r>
              <w:rPr>
                <w:rFonts w:ascii="Lucida Sans" w:hAnsi="Lucida Sans"/>
                <w:sz w:val="20"/>
                <w:szCs w:val="20"/>
              </w:rPr>
              <w:t>date</w:t>
            </w:r>
            <w:r w:rsidR="00335C18">
              <w:rPr>
                <w:rFonts w:ascii="Lucida Sans" w:hAnsi="Lucida Sans"/>
                <w:sz w:val="20"/>
                <w:szCs w:val="20"/>
              </w:rPr>
              <w:t xml:space="preserve">s; the first complete draft of the </w:t>
            </w:r>
            <w:r>
              <w:rPr>
                <w:rFonts w:ascii="Lucida Sans" w:hAnsi="Lucida Sans"/>
                <w:sz w:val="20"/>
                <w:szCs w:val="20"/>
              </w:rPr>
              <w:t xml:space="preserve">final report </w:t>
            </w:r>
            <w:r w:rsidR="00335C18">
              <w:rPr>
                <w:rFonts w:ascii="Lucida Sans" w:hAnsi="Lucida Sans"/>
                <w:sz w:val="20"/>
                <w:szCs w:val="20"/>
              </w:rPr>
              <w:t xml:space="preserve">is due on </w:t>
            </w:r>
            <w:r>
              <w:rPr>
                <w:rFonts w:ascii="Lucida Sans" w:hAnsi="Lucida Sans"/>
                <w:sz w:val="20"/>
                <w:szCs w:val="20"/>
              </w:rPr>
              <w:t>March 31</w:t>
            </w:r>
            <w:r w:rsidRPr="0025187F">
              <w:rPr>
                <w:rFonts w:ascii="Lucida Sans" w:hAnsi="Lucida Sans"/>
                <w:sz w:val="20"/>
                <w:szCs w:val="20"/>
                <w:vertAlign w:val="superscript"/>
              </w:rPr>
              <w:t>st</w:t>
            </w:r>
            <w:r>
              <w:rPr>
                <w:rFonts w:ascii="Lucida Sans" w:hAnsi="Lucida Sans"/>
                <w:sz w:val="20"/>
                <w:szCs w:val="20"/>
              </w:rPr>
              <w:t xml:space="preserve"> and a </w:t>
            </w:r>
            <w:r w:rsidR="00335C18">
              <w:rPr>
                <w:rFonts w:ascii="Lucida Sans" w:hAnsi="Lucida Sans"/>
                <w:sz w:val="20"/>
                <w:szCs w:val="20"/>
              </w:rPr>
              <w:t xml:space="preserve">finalised version on </w:t>
            </w:r>
            <w:r>
              <w:rPr>
                <w:rFonts w:ascii="Lucida Sans" w:hAnsi="Lucida Sans"/>
                <w:sz w:val="20"/>
                <w:szCs w:val="20"/>
              </w:rPr>
              <w:t>30</w:t>
            </w:r>
            <w:r w:rsidRPr="0025187F">
              <w:rPr>
                <w:rFonts w:ascii="Lucida Sans" w:hAnsi="Lucida Sans"/>
                <w:sz w:val="20"/>
                <w:szCs w:val="20"/>
                <w:vertAlign w:val="superscript"/>
              </w:rPr>
              <w:t>th</w:t>
            </w:r>
            <w:r>
              <w:rPr>
                <w:rFonts w:ascii="Lucida Sans" w:hAnsi="Lucida Sans"/>
                <w:sz w:val="20"/>
                <w:szCs w:val="20"/>
              </w:rPr>
              <w:t xml:space="preserve"> April. AAJ thanked AKMH and YL for keeping to </w:t>
            </w:r>
            <w:r w:rsidR="00335C18">
              <w:rPr>
                <w:rFonts w:ascii="Lucida Sans" w:hAnsi="Lucida Sans"/>
                <w:sz w:val="20"/>
                <w:szCs w:val="20"/>
              </w:rPr>
              <w:t xml:space="preserve">the project timelines and </w:t>
            </w:r>
            <w:r>
              <w:rPr>
                <w:rFonts w:ascii="Lucida Sans" w:hAnsi="Lucida Sans"/>
                <w:sz w:val="20"/>
                <w:szCs w:val="20"/>
              </w:rPr>
              <w:t xml:space="preserve">deadlines.  </w:t>
            </w:r>
          </w:p>
          <w:p w14:paraId="61FF124A" w14:textId="77777777" w:rsidR="0025187F" w:rsidRPr="00414541" w:rsidRDefault="0025187F" w:rsidP="0025187F">
            <w:pPr>
              <w:pStyle w:val="ColorfulList-Accent11"/>
              <w:ind w:left="0"/>
              <w:rPr>
                <w:rFonts w:ascii="Lucida Sans" w:hAnsi="Lucida Sans"/>
                <w:sz w:val="20"/>
                <w:szCs w:val="20"/>
              </w:rPr>
            </w:pPr>
          </w:p>
          <w:p w14:paraId="116D9733" w14:textId="77777777" w:rsidR="005204F5" w:rsidRDefault="00F90CB7" w:rsidP="00F90CB7">
            <w:pPr>
              <w:pStyle w:val="ColorfulList-Accent11"/>
              <w:numPr>
                <w:ilvl w:val="1"/>
                <w:numId w:val="15"/>
              </w:numPr>
              <w:rPr>
                <w:rFonts w:ascii="Lucida Sans" w:hAnsi="Lucida Sans"/>
                <w:sz w:val="20"/>
                <w:szCs w:val="20"/>
              </w:rPr>
            </w:pPr>
            <w:r w:rsidRPr="00414541">
              <w:rPr>
                <w:rFonts w:ascii="Lucida Sans" w:hAnsi="Lucida Sans"/>
                <w:sz w:val="20"/>
                <w:szCs w:val="20"/>
              </w:rPr>
              <w:t>Proposed board membership (att. 3)</w:t>
            </w:r>
          </w:p>
          <w:p w14:paraId="344E2BBC" w14:textId="77777777" w:rsidR="00443426" w:rsidRDefault="0025187F" w:rsidP="00335C18">
            <w:pPr>
              <w:pStyle w:val="ColorfulList-Accent11"/>
              <w:ind w:left="0"/>
              <w:rPr>
                <w:rFonts w:ascii="Lucida Sans" w:hAnsi="Lucida Sans"/>
                <w:sz w:val="20"/>
                <w:szCs w:val="20"/>
              </w:rPr>
            </w:pPr>
            <w:r>
              <w:rPr>
                <w:rFonts w:ascii="Lucida Sans" w:hAnsi="Lucida Sans"/>
                <w:sz w:val="20"/>
                <w:szCs w:val="20"/>
              </w:rPr>
              <w:t xml:space="preserve">AAJ </w:t>
            </w:r>
            <w:r w:rsidR="00335C18">
              <w:rPr>
                <w:rFonts w:ascii="Lucida Sans" w:hAnsi="Lucida Sans"/>
                <w:sz w:val="20"/>
                <w:szCs w:val="20"/>
              </w:rPr>
              <w:t xml:space="preserve">went through </w:t>
            </w:r>
            <w:r>
              <w:rPr>
                <w:rFonts w:ascii="Lucida Sans" w:hAnsi="Lucida Sans"/>
                <w:sz w:val="20"/>
                <w:szCs w:val="20"/>
              </w:rPr>
              <w:t>the TORs of the</w:t>
            </w:r>
            <w:r w:rsidR="00335C18">
              <w:rPr>
                <w:rFonts w:ascii="Lucida Sans" w:hAnsi="Lucida Sans"/>
                <w:sz w:val="20"/>
                <w:szCs w:val="20"/>
              </w:rPr>
              <w:t xml:space="preserve"> management structure of the collaboration </w:t>
            </w:r>
            <w:r w:rsidR="00443426">
              <w:rPr>
                <w:rFonts w:ascii="Lucida Sans" w:hAnsi="Lucida Sans"/>
                <w:sz w:val="20"/>
                <w:szCs w:val="20"/>
              </w:rPr>
              <w:t xml:space="preserve">in detail. </w:t>
            </w:r>
          </w:p>
          <w:p w14:paraId="35F0AB95" w14:textId="77777777" w:rsidR="00BE5F4F" w:rsidRDefault="00BE5F4F" w:rsidP="00BE5F4F">
            <w:pPr>
              <w:pStyle w:val="ColorfulList-Accent11"/>
              <w:ind w:left="0"/>
              <w:rPr>
                <w:rFonts w:ascii="Lucida Sans" w:hAnsi="Lucida Sans"/>
                <w:sz w:val="20"/>
                <w:szCs w:val="20"/>
              </w:rPr>
            </w:pPr>
          </w:p>
          <w:p w14:paraId="6CF33643" w14:textId="77777777" w:rsidR="00335C18" w:rsidRPr="0035396A" w:rsidRDefault="0035396A" w:rsidP="00BE5F4F">
            <w:pPr>
              <w:pStyle w:val="ColorfulList-Accent11"/>
              <w:ind w:left="0"/>
              <w:rPr>
                <w:rFonts w:ascii="Lucida Sans" w:hAnsi="Lucida Sans"/>
                <w:i/>
                <w:sz w:val="20"/>
                <w:szCs w:val="20"/>
              </w:rPr>
            </w:pPr>
            <w:r w:rsidRPr="0035396A">
              <w:rPr>
                <w:rFonts w:ascii="Lucida Sans" w:hAnsi="Lucida Sans"/>
                <w:i/>
                <w:sz w:val="20"/>
                <w:szCs w:val="20"/>
              </w:rPr>
              <w:t>The Board</w:t>
            </w:r>
          </w:p>
          <w:p w14:paraId="49759EF3" w14:textId="77777777" w:rsidR="00BE5F4F" w:rsidRDefault="00BE5F4F" w:rsidP="00BE5F4F">
            <w:pPr>
              <w:pStyle w:val="ColorfulList-Accent11"/>
              <w:ind w:left="0"/>
              <w:rPr>
                <w:rFonts w:ascii="Lucida Sans" w:hAnsi="Lucida Sans"/>
                <w:sz w:val="20"/>
                <w:szCs w:val="20"/>
              </w:rPr>
            </w:pPr>
            <w:r>
              <w:rPr>
                <w:rFonts w:ascii="Lucida Sans" w:hAnsi="Lucida Sans"/>
                <w:sz w:val="20"/>
                <w:szCs w:val="20"/>
              </w:rPr>
              <w:t xml:space="preserve">LT asked who would conduct the formal review of the Board.  AAJ said they report to NIHR. </w:t>
            </w:r>
          </w:p>
          <w:p w14:paraId="405FBECC" w14:textId="77777777" w:rsidR="007F59D4" w:rsidRDefault="007F59D4" w:rsidP="00BE5F4F">
            <w:pPr>
              <w:pStyle w:val="ColorfulList-Accent11"/>
              <w:ind w:left="0"/>
              <w:rPr>
                <w:rFonts w:ascii="Lucida Sans" w:hAnsi="Lucida Sans"/>
                <w:sz w:val="20"/>
                <w:szCs w:val="20"/>
              </w:rPr>
            </w:pPr>
          </w:p>
          <w:p w14:paraId="34276EE1" w14:textId="77777777" w:rsidR="0035396A" w:rsidRDefault="0035396A" w:rsidP="0035396A">
            <w:pPr>
              <w:pStyle w:val="ColorfulList-Accent11"/>
              <w:ind w:left="0"/>
              <w:rPr>
                <w:rFonts w:ascii="Lucida Sans" w:hAnsi="Lucida Sans"/>
                <w:sz w:val="20"/>
                <w:szCs w:val="20"/>
              </w:rPr>
            </w:pPr>
            <w:r>
              <w:rPr>
                <w:rFonts w:ascii="Lucida Sans" w:hAnsi="Lucida Sans"/>
                <w:sz w:val="20"/>
                <w:szCs w:val="20"/>
              </w:rPr>
              <w:t>MJW said the invitations to the Board should come from NOCRI/NIHR.</w:t>
            </w:r>
            <w:r w:rsidR="00443426">
              <w:rPr>
                <w:rFonts w:ascii="Lucida Sans" w:hAnsi="Lucida Sans"/>
                <w:sz w:val="20"/>
                <w:szCs w:val="20"/>
              </w:rPr>
              <w:t xml:space="preserve">  NOCRI will</w:t>
            </w:r>
            <w:r w:rsidR="007F59D4">
              <w:rPr>
                <w:rFonts w:ascii="Lucida Sans" w:hAnsi="Lucida Sans"/>
                <w:sz w:val="20"/>
                <w:szCs w:val="20"/>
              </w:rPr>
              <w:t xml:space="preserve"> send formal invitations for the Board.  NOCRI will not nominate a specific person; this will be up to each organisation to decide. </w:t>
            </w:r>
          </w:p>
          <w:p w14:paraId="67D56E40" w14:textId="77777777" w:rsidR="00443426" w:rsidRDefault="00443426" w:rsidP="0035396A">
            <w:pPr>
              <w:pStyle w:val="ColorfulList-Accent11"/>
              <w:ind w:left="0"/>
              <w:rPr>
                <w:rFonts w:ascii="Lucida Sans" w:hAnsi="Lucida Sans"/>
                <w:sz w:val="20"/>
                <w:szCs w:val="20"/>
              </w:rPr>
            </w:pPr>
          </w:p>
          <w:p w14:paraId="01F37627" w14:textId="77777777" w:rsidR="00AD3792" w:rsidRPr="0035396A" w:rsidRDefault="0035396A" w:rsidP="00AD3792">
            <w:pPr>
              <w:pStyle w:val="ColorfulList-Accent11"/>
              <w:ind w:left="0"/>
              <w:rPr>
                <w:rFonts w:ascii="Lucida Sans" w:hAnsi="Lucida Sans"/>
                <w:i/>
                <w:sz w:val="20"/>
                <w:szCs w:val="20"/>
              </w:rPr>
            </w:pPr>
            <w:r w:rsidRPr="0035396A">
              <w:rPr>
                <w:rFonts w:ascii="Lucida Sans" w:hAnsi="Lucida Sans"/>
                <w:i/>
                <w:sz w:val="20"/>
                <w:szCs w:val="20"/>
              </w:rPr>
              <w:t>Steering Committee</w:t>
            </w:r>
          </w:p>
          <w:p w14:paraId="74087508" w14:textId="77777777" w:rsidR="00443426" w:rsidRDefault="0035396A" w:rsidP="00AD3792">
            <w:pPr>
              <w:pStyle w:val="ColorfulList-Accent11"/>
              <w:ind w:left="0"/>
              <w:rPr>
                <w:rFonts w:ascii="Lucida Sans" w:hAnsi="Lucida Sans"/>
                <w:sz w:val="20"/>
                <w:szCs w:val="20"/>
              </w:rPr>
            </w:pPr>
            <w:r>
              <w:rPr>
                <w:rFonts w:ascii="Lucida Sans" w:hAnsi="Lucida Sans"/>
                <w:sz w:val="20"/>
                <w:szCs w:val="20"/>
              </w:rPr>
              <w:t xml:space="preserve">AAJ said that the SC should be as inclusive as possible </w:t>
            </w:r>
            <w:r w:rsidR="00443426">
              <w:rPr>
                <w:rFonts w:ascii="Lucida Sans" w:hAnsi="Lucida Sans"/>
                <w:sz w:val="20"/>
                <w:szCs w:val="20"/>
              </w:rPr>
              <w:t xml:space="preserve">because the </w:t>
            </w:r>
            <w:r w:rsidR="00443426">
              <w:rPr>
                <w:rFonts w:ascii="Lucida Sans" w:hAnsi="Lucida Sans"/>
                <w:sz w:val="20"/>
                <w:szCs w:val="20"/>
              </w:rPr>
              <w:lastRenderedPageBreak/>
              <w:t>collaboration has a large remit</w:t>
            </w:r>
            <w:r>
              <w:rPr>
                <w:rFonts w:ascii="Lucida Sans" w:hAnsi="Lucida Sans"/>
                <w:sz w:val="20"/>
                <w:szCs w:val="20"/>
              </w:rPr>
              <w:t>.</w:t>
            </w:r>
          </w:p>
          <w:p w14:paraId="037E9CF6" w14:textId="77777777" w:rsidR="0035396A" w:rsidRDefault="0035396A" w:rsidP="00AD3792">
            <w:pPr>
              <w:pStyle w:val="ColorfulList-Accent11"/>
              <w:ind w:left="0"/>
              <w:rPr>
                <w:rFonts w:ascii="Lucida Sans" w:hAnsi="Lucida Sans"/>
                <w:sz w:val="20"/>
                <w:szCs w:val="20"/>
              </w:rPr>
            </w:pPr>
            <w:r>
              <w:rPr>
                <w:rFonts w:ascii="Lucida Sans" w:hAnsi="Lucida Sans"/>
                <w:sz w:val="20"/>
                <w:szCs w:val="20"/>
              </w:rPr>
              <w:t xml:space="preserve"> </w:t>
            </w:r>
          </w:p>
          <w:p w14:paraId="2B5846E3" w14:textId="77777777" w:rsidR="00AD3792" w:rsidRDefault="00335C18" w:rsidP="00AD3792">
            <w:pPr>
              <w:pStyle w:val="ColorfulList-Accent11"/>
              <w:ind w:left="0"/>
              <w:rPr>
                <w:rFonts w:ascii="Lucida Sans" w:hAnsi="Lucida Sans"/>
                <w:sz w:val="20"/>
                <w:szCs w:val="20"/>
              </w:rPr>
            </w:pPr>
            <w:r>
              <w:rPr>
                <w:rFonts w:ascii="Lucida Sans" w:hAnsi="Lucida Sans"/>
                <w:sz w:val="20"/>
                <w:szCs w:val="20"/>
              </w:rPr>
              <w:t xml:space="preserve">KB </w:t>
            </w:r>
            <w:r w:rsidR="0035396A">
              <w:rPr>
                <w:rFonts w:ascii="Lucida Sans" w:hAnsi="Lucida Sans"/>
                <w:sz w:val="20"/>
                <w:szCs w:val="20"/>
              </w:rPr>
              <w:t>asked that the TORs be changed so that</w:t>
            </w:r>
            <w:r>
              <w:rPr>
                <w:rFonts w:ascii="Lucida Sans" w:hAnsi="Lucida Sans"/>
                <w:sz w:val="20"/>
                <w:szCs w:val="20"/>
              </w:rPr>
              <w:t xml:space="preserve"> she</w:t>
            </w:r>
            <w:r w:rsidR="00AD3792">
              <w:rPr>
                <w:rFonts w:ascii="Lucida Sans" w:hAnsi="Lucida Sans"/>
                <w:sz w:val="20"/>
                <w:szCs w:val="20"/>
              </w:rPr>
              <w:t xml:space="preserve"> represent</w:t>
            </w:r>
            <w:r>
              <w:rPr>
                <w:rFonts w:ascii="Lucida Sans" w:hAnsi="Lucida Sans"/>
                <w:sz w:val="20"/>
                <w:szCs w:val="20"/>
              </w:rPr>
              <w:t>s</w:t>
            </w:r>
            <w:r w:rsidR="00AD3792">
              <w:rPr>
                <w:rFonts w:ascii="Lucida Sans" w:hAnsi="Lucida Sans"/>
                <w:sz w:val="20"/>
                <w:szCs w:val="20"/>
              </w:rPr>
              <w:t xml:space="preserve"> the ECMC network </w:t>
            </w:r>
            <w:r w:rsidR="0035396A">
              <w:rPr>
                <w:rFonts w:ascii="Lucida Sans" w:hAnsi="Lucida Sans"/>
                <w:sz w:val="20"/>
                <w:szCs w:val="20"/>
              </w:rPr>
              <w:t>rather than t</w:t>
            </w:r>
            <w:r w:rsidR="00AD3792">
              <w:rPr>
                <w:rFonts w:ascii="Lucida Sans" w:hAnsi="Lucida Sans"/>
                <w:sz w:val="20"/>
                <w:szCs w:val="20"/>
              </w:rPr>
              <w:t xml:space="preserve">he secretariat.  This change will be made to the TORs. </w:t>
            </w:r>
          </w:p>
          <w:p w14:paraId="74A42ACF" w14:textId="77777777" w:rsidR="00AD3792" w:rsidRDefault="00AD3792" w:rsidP="00AD3792">
            <w:pPr>
              <w:pStyle w:val="ColorfulList-Accent11"/>
              <w:ind w:left="0"/>
              <w:rPr>
                <w:rFonts w:ascii="Lucida Sans" w:hAnsi="Lucida Sans"/>
                <w:sz w:val="20"/>
                <w:szCs w:val="20"/>
              </w:rPr>
            </w:pPr>
          </w:p>
          <w:p w14:paraId="590B37D1" w14:textId="77777777" w:rsidR="00AD3792" w:rsidRDefault="00AD3792" w:rsidP="00AD3792">
            <w:pPr>
              <w:pStyle w:val="ColorfulList-Accent11"/>
              <w:ind w:left="0"/>
              <w:rPr>
                <w:rFonts w:ascii="Lucida Sans" w:hAnsi="Lucida Sans"/>
                <w:sz w:val="20"/>
                <w:szCs w:val="20"/>
              </w:rPr>
            </w:pPr>
            <w:r>
              <w:rPr>
                <w:rFonts w:ascii="Lucida Sans" w:hAnsi="Lucida Sans"/>
                <w:sz w:val="20"/>
                <w:szCs w:val="20"/>
              </w:rPr>
              <w:t xml:space="preserve">KA asked if </w:t>
            </w:r>
            <w:r w:rsidR="0035396A">
              <w:rPr>
                <w:rFonts w:ascii="Lucida Sans" w:hAnsi="Lucida Sans"/>
                <w:sz w:val="20"/>
                <w:szCs w:val="20"/>
              </w:rPr>
              <w:t xml:space="preserve">her role be changed to </w:t>
            </w:r>
            <w:r w:rsidR="00443426">
              <w:rPr>
                <w:rFonts w:ascii="Lucida Sans" w:hAnsi="Lucida Sans"/>
                <w:sz w:val="20"/>
                <w:szCs w:val="20"/>
              </w:rPr>
              <w:t xml:space="preserve">WCRF UK; </w:t>
            </w:r>
            <w:r>
              <w:rPr>
                <w:rFonts w:ascii="Lucida Sans" w:hAnsi="Lucida Sans"/>
                <w:sz w:val="20"/>
                <w:szCs w:val="20"/>
              </w:rPr>
              <w:t xml:space="preserve">KA </w:t>
            </w:r>
            <w:r w:rsidR="00335C18">
              <w:rPr>
                <w:rFonts w:ascii="Lucida Sans" w:hAnsi="Lucida Sans"/>
                <w:sz w:val="20"/>
                <w:szCs w:val="20"/>
              </w:rPr>
              <w:t>is head o</w:t>
            </w:r>
            <w:r w:rsidR="00443426">
              <w:rPr>
                <w:rFonts w:ascii="Lucida Sans" w:hAnsi="Lucida Sans"/>
                <w:sz w:val="20"/>
                <w:szCs w:val="20"/>
              </w:rPr>
              <w:t xml:space="preserve">f WCRF International but </w:t>
            </w:r>
            <w:r w:rsidR="00335C18">
              <w:rPr>
                <w:rFonts w:ascii="Lucida Sans" w:hAnsi="Lucida Sans"/>
                <w:sz w:val="20"/>
                <w:szCs w:val="20"/>
              </w:rPr>
              <w:t xml:space="preserve">she </w:t>
            </w:r>
            <w:r>
              <w:rPr>
                <w:rFonts w:ascii="Lucida Sans" w:hAnsi="Lucida Sans"/>
                <w:sz w:val="20"/>
                <w:szCs w:val="20"/>
              </w:rPr>
              <w:t xml:space="preserve">will represent WCRF UK on the Steering Committee as this is a UK-focused project.  </w:t>
            </w:r>
          </w:p>
          <w:p w14:paraId="1E692711" w14:textId="77777777" w:rsidR="00AD3792" w:rsidRDefault="00AD3792" w:rsidP="00AD3792">
            <w:pPr>
              <w:pStyle w:val="ColorfulList-Accent11"/>
              <w:ind w:left="0"/>
              <w:rPr>
                <w:rFonts w:ascii="Lucida Sans" w:hAnsi="Lucida Sans"/>
                <w:sz w:val="20"/>
                <w:szCs w:val="20"/>
              </w:rPr>
            </w:pPr>
          </w:p>
          <w:p w14:paraId="430C7E5C" w14:textId="77777777" w:rsidR="0035396A" w:rsidRDefault="00AD3792" w:rsidP="0035396A">
            <w:pPr>
              <w:pStyle w:val="ColorfulList-Accent11"/>
              <w:ind w:left="0"/>
              <w:rPr>
                <w:rFonts w:ascii="Lucida Sans" w:hAnsi="Lucida Sans"/>
                <w:sz w:val="20"/>
                <w:szCs w:val="20"/>
              </w:rPr>
            </w:pPr>
            <w:r>
              <w:rPr>
                <w:rFonts w:ascii="Lucida Sans" w:hAnsi="Lucida Sans"/>
                <w:sz w:val="20"/>
                <w:szCs w:val="20"/>
              </w:rPr>
              <w:t xml:space="preserve">AAJ </w:t>
            </w:r>
            <w:r w:rsidR="00443426">
              <w:rPr>
                <w:rFonts w:ascii="Lucida Sans" w:hAnsi="Lucida Sans"/>
                <w:sz w:val="20"/>
                <w:szCs w:val="20"/>
              </w:rPr>
              <w:t xml:space="preserve">linked this point to a </w:t>
            </w:r>
            <w:r w:rsidR="0035396A">
              <w:rPr>
                <w:rFonts w:ascii="Lucida Sans" w:hAnsi="Lucida Sans"/>
                <w:sz w:val="20"/>
                <w:szCs w:val="20"/>
              </w:rPr>
              <w:t xml:space="preserve">discussion of how to involve the </w:t>
            </w:r>
            <w:r>
              <w:rPr>
                <w:rFonts w:ascii="Lucida Sans" w:hAnsi="Lucida Sans"/>
                <w:sz w:val="20"/>
                <w:szCs w:val="20"/>
              </w:rPr>
              <w:t>devolved administrations.</w:t>
            </w:r>
            <w:r w:rsidR="0035396A">
              <w:rPr>
                <w:rFonts w:ascii="Lucida Sans" w:hAnsi="Lucida Sans"/>
                <w:sz w:val="20"/>
                <w:szCs w:val="20"/>
              </w:rPr>
              <w:t xml:space="preserve"> In</w:t>
            </w:r>
            <w:r w:rsidR="00443426">
              <w:rPr>
                <w:rFonts w:ascii="Lucida Sans" w:hAnsi="Lucida Sans"/>
                <w:sz w:val="20"/>
                <w:szCs w:val="20"/>
              </w:rPr>
              <w:t>itially</w:t>
            </w:r>
            <w:r w:rsidR="0035396A">
              <w:rPr>
                <w:rFonts w:ascii="Lucida Sans" w:hAnsi="Lucida Sans"/>
                <w:sz w:val="20"/>
                <w:szCs w:val="20"/>
              </w:rPr>
              <w:t>, the remit was limited to England</w:t>
            </w:r>
            <w:r w:rsidR="00443426">
              <w:rPr>
                <w:rFonts w:ascii="Lucida Sans" w:hAnsi="Lucida Sans"/>
                <w:sz w:val="20"/>
                <w:szCs w:val="20"/>
              </w:rPr>
              <w:t xml:space="preserve"> to get the work started quickly</w:t>
            </w:r>
            <w:r w:rsidR="0035396A">
              <w:rPr>
                <w:rFonts w:ascii="Lucida Sans" w:hAnsi="Lucida Sans"/>
                <w:sz w:val="20"/>
                <w:szCs w:val="20"/>
              </w:rPr>
              <w:t xml:space="preserve">; once the initiative is better established, Wales, Scotland and Northern Ireland should be </w:t>
            </w:r>
            <w:r w:rsidR="00443426">
              <w:rPr>
                <w:rFonts w:ascii="Lucida Sans" w:hAnsi="Lucida Sans"/>
                <w:sz w:val="20"/>
                <w:szCs w:val="20"/>
              </w:rPr>
              <w:t xml:space="preserve">more heavily </w:t>
            </w:r>
            <w:r w:rsidR="0035396A">
              <w:rPr>
                <w:rFonts w:ascii="Lucida Sans" w:hAnsi="Lucida Sans"/>
                <w:sz w:val="20"/>
                <w:szCs w:val="20"/>
              </w:rPr>
              <w:t xml:space="preserve">involved. MH said this involvement should be driven by the science rather than influenced by the way that funding works. </w:t>
            </w:r>
          </w:p>
          <w:p w14:paraId="51585854" w14:textId="77777777" w:rsidR="00AD3792" w:rsidRDefault="00AD3792" w:rsidP="00AD3792">
            <w:pPr>
              <w:pStyle w:val="ColorfulList-Accent11"/>
              <w:ind w:left="0"/>
              <w:rPr>
                <w:rFonts w:ascii="Lucida Sans" w:hAnsi="Lucida Sans"/>
                <w:sz w:val="20"/>
                <w:szCs w:val="20"/>
              </w:rPr>
            </w:pPr>
          </w:p>
          <w:p w14:paraId="45415E3D" w14:textId="77777777" w:rsidR="00AD3792" w:rsidRDefault="00AD3792" w:rsidP="00AD3792">
            <w:pPr>
              <w:pStyle w:val="ColorfulList-Accent11"/>
              <w:ind w:left="0"/>
              <w:rPr>
                <w:rFonts w:ascii="Lucida Sans" w:hAnsi="Lucida Sans"/>
                <w:sz w:val="20"/>
                <w:szCs w:val="20"/>
              </w:rPr>
            </w:pPr>
            <w:r>
              <w:rPr>
                <w:rFonts w:ascii="Lucida Sans" w:hAnsi="Lucida Sans"/>
                <w:sz w:val="20"/>
                <w:szCs w:val="20"/>
              </w:rPr>
              <w:t xml:space="preserve">CB asked if there </w:t>
            </w:r>
            <w:r w:rsidR="0035396A">
              <w:rPr>
                <w:rFonts w:ascii="Lucida Sans" w:hAnsi="Lucida Sans"/>
                <w:sz w:val="20"/>
                <w:szCs w:val="20"/>
              </w:rPr>
              <w:t>is</w:t>
            </w:r>
            <w:r>
              <w:rPr>
                <w:rFonts w:ascii="Lucida Sans" w:hAnsi="Lucida Sans"/>
                <w:sz w:val="20"/>
                <w:szCs w:val="20"/>
              </w:rPr>
              <w:t xml:space="preserve"> an equivalent </w:t>
            </w:r>
            <w:r w:rsidR="0035396A">
              <w:rPr>
                <w:rFonts w:ascii="Lucida Sans" w:hAnsi="Lucida Sans"/>
                <w:sz w:val="20"/>
                <w:szCs w:val="20"/>
              </w:rPr>
              <w:t>of</w:t>
            </w:r>
            <w:r w:rsidR="005F6A9F">
              <w:rPr>
                <w:rFonts w:ascii="Lucida Sans" w:hAnsi="Lucida Sans"/>
                <w:sz w:val="20"/>
                <w:szCs w:val="20"/>
              </w:rPr>
              <w:t xml:space="preserve"> </w:t>
            </w:r>
            <w:r w:rsidR="00002F5C">
              <w:rPr>
                <w:rFonts w:ascii="Lucida Sans" w:hAnsi="Lucida Sans"/>
                <w:sz w:val="20"/>
                <w:szCs w:val="20"/>
              </w:rPr>
              <w:t xml:space="preserve">NIHR </w:t>
            </w:r>
            <w:r w:rsidR="005F6A9F">
              <w:rPr>
                <w:rFonts w:ascii="Lucida Sans" w:hAnsi="Lucida Sans"/>
                <w:sz w:val="20"/>
                <w:szCs w:val="20"/>
              </w:rPr>
              <w:t>for</w:t>
            </w:r>
            <w:r>
              <w:rPr>
                <w:rFonts w:ascii="Lucida Sans" w:hAnsi="Lucida Sans"/>
                <w:sz w:val="20"/>
                <w:szCs w:val="20"/>
              </w:rPr>
              <w:t xml:space="preserve"> </w:t>
            </w:r>
            <w:r w:rsidR="0035396A">
              <w:rPr>
                <w:rFonts w:ascii="Lucida Sans" w:hAnsi="Lucida Sans"/>
                <w:sz w:val="20"/>
                <w:szCs w:val="20"/>
              </w:rPr>
              <w:t>the devolved administrations</w:t>
            </w:r>
            <w:r>
              <w:rPr>
                <w:rFonts w:ascii="Lucida Sans" w:hAnsi="Lucida Sans"/>
                <w:sz w:val="20"/>
                <w:szCs w:val="20"/>
              </w:rPr>
              <w:t xml:space="preserve">.  MH said there </w:t>
            </w:r>
            <w:r w:rsidR="005F6A9F">
              <w:rPr>
                <w:rFonts w:ascii="Lucida Sans" w:hAnsi="Lucida Sans"/>
                <w:sz w:val="20"/>
                <w:szCs w:val="20"/>
              </w:rPr>
              <w:t>is</w:t>
            </w:r>
            <w:r>
              <w:rPr>
                <w:rFonts w:ascii="Lucida Sans" w:hAnsi="Lucida Sans"/>
                <w:sz w:val="20"/>
                <w:szCs w:val="20"/>
              </w:rPr>
              <w:t xml:space="preserve"> but </w:t>
            </w:r>
            <w:r w:rsidR="005F6A9F">
              <w:rPr>
                <w:rFonts w:ascii="Lucida Sans" w:hAnsi="Lucida Sans"/>
                <w:sz w:val="20"/>
                <w:szCs w:val="20"/>
              </w:rPr>
              <w:t>they</w:t>
            </w:r>
            <w:r w:rsidR="0035396A">
              <w:rPr>
                <w:rFonts w:ascii="Lucida Sans" w:hAnsi="Lucida Sans"/>
                <w:sz w:val="20"/>
                <w:szCs w:val="20"/>
              </w:rPr>
              <w:t xml:space="preserve"> are structured diff</w:t>
            </w:r>
            <w:r w:rsidR="005F6A9F">
              <w:rPr>
                <w:rFonts w:ascii="Lucida Sans" w:hAnsi="Lucida Sans"/>
                <w:sz w:val="20"/>
                <w:szCs w:val="20"/>
              </w:rPr>
              <w:t>erently (e.g. there are</w:t>
            </w:r>
            <w:r w:rsidR="0035396A">
              <w:rPr>
                <w:rFonts w:ascii="Lucida Sans" w:hAnsi="Lucida Sans"/>
                <w:sz w:val="20"/>
                <w:szCs w:val="20"/>
              </w:rPr>
              <w:t xml:space="preserve"> research networks and early research centres</w:t>
            </w:r>
            <w:r w:rsidR="005F6A9F">
              <w:rPr>
                <w:rFonts w:ascii="Lucida Sans" w:hAnsi="Lucida Sans"/>
                <w:sz w:val="20"/>
                <w:szCs w:val="20"/>
              </w:rPr>
              <w:t xml:space="preserve"> in all areas of the UK)</w:t>
            </w:r>
            <w:r w:rsidR="0035396A">
              <w:rPr>
                <w:rFonts w:ascii="Lucida Sans" w:hAnsi="Lucida Sans"/>
                <w:sz w:val="20"/>
                <w:szCs w:val="20"/>
              </w:rPr>
              <w:t>.</w:t>
            </w:r>
          </w:p>
          <w:p w14:paraId="77C92E30" w14:textId="77777777" w:rsidR="00AD3792" w:rsidRDefault="00AD3792" w:rsidP="00AD3792">
            <w:pPr>
              <w:pStyle w:val="ColorfulList-Accent11"/>
              <w:ind w:left="0"/>
              <w:rPr>
                <w:rFonts w:ascii="Lucida Sans" w:hAnsi="Lucida Sans"/>
                <w:sz w:val="20"/>
                <w:szCs w:val="20"/>
              </w:rPr>
            </w:pPr>
          </w:p>
          <w:p w14:paraId="7BFDD415" w14:textId="77777777" w:rsidR="00335C18" w:rsidRPr="0035396A" w:rsidRDefault="0035396A" w:rsidP="00335C18">
            <w:pPr>
              <w:pStyle w:val="ColorfulList-Accent11"/>
              <w:ind w:left="0"/>
              <w:rPr>
                <w:rFonts w:ascii="Lucida Sans" w:hAnsi="Lucida Sans"/>
                <w:i/>
                <w:sz w:val="20"/>
                <w:szCs w:val="20"/>
              </w:rPr>
            </w:pPr>
            <w:r>
              <w:rPr>
                <w:rFonts w:ascii="Lucida Sans" w:hAnsi="Lucida Sans"/>
                <w:i/>
                <w:sz w:val="20"/>
                <w:szCs w:val="20"/>
              </w:rPr>
              <w:t xml:space="preserve">Task &amp; Finish Group </w:t>
            </w:r>
          </w:p>
          <w:p w14:paraId="53BE1227" w14:textId="77777777" w:rsidR="00FE32DE" w:rsidRPr="00414541" w:rsidRDefault="00335C18" w:rsidP="00961275">
            <w:pPr>
              <w:pStyle w:val="ColorfulList-Accent11"/>
              <w:ind w:left="0"/>
              <w:rPr>
                <w:rFonts w:ascii="Lucida Sans" w:hAnsi="Lucida Sans"/>
                <w:sz w:val="20"/>
                <w:szCs w:val="20"/>
              </w:rPr>
            </w:pPr>
            <w:r>
              <w:rPr>
                <w:rFonts w:ascii="Lucida Sans" w:hAnsi="Lucida Sans"/>
                <w:sz w:val="20"/>
                <w:szCs w:val="20"/>
              </w:rPr>
              <w:t>AAJ explained the</w:t>
            </w:r>
            <w:r w:rsidR="007F59D4">
              <w:rPr>
                <w:rFonts w:ascii="Lucida Sans" w:hAnsi="Lucida Sans"/>
                <w:sz w:val="20"/>
                <w:szCs w:val="20"/>
              </w:rPr>
              <w:t xml:space="preserve"> remit of</w:t>
            </w:r>
            <w:r>
              <w:rPr>
                <w:rFonts w:ascii="Lucida Sans" w:hAnsi="Lucida Sans"/>
                <w:sz w:val="20"/>
                <w:szCs w:val="20"/>
              </w:rPr>
              <w:t xml:space="preserve"> T&amp;F g</w:t>
            </w:r>
            <w:r w:rsidR="007F59D4">
              <w:rPr>
                <w:rFonts w:ascii="Lucida Sans" w:hAnsi="Lucida Sans"/>
                <w:sz w:val="20"/>
                <w:szCs w:val="20"/>
              </w:rPr>
              <w:t>roup and highlighted that the group</w:t>
            </w:r>
            <w:r>
              <w:rPr>
                <w:rFonts w:ascii="Lucida Sans" w:hAnsi="Lucida Sans"/>
                <w:sz w:val="20"/>
                <w:szCs w:val="20"/>
              </w:rPr>
              <w:t xml:space="preserve"> would become a secretariat</w:t>
            </w:r>
            <w:r w:rsidR="00961275">
              <w:rPr>
                <w:rFonts w:ascii="Lucida Sans" w:hAnsi="Lucida Sans"/>
                <w:sz w:val="20"/>
                <w:szCs w:val="20"/>
              </w:rPr>
              <w:t xml:space="preserve"> </w:t>
            </w:r>
            <w:r>
              <w:rPr>
                <w:rFonts w:ascii="Lucida Sans" w:hAnsi="Lucida Sans"/>
                <w:sz w:val="20"/>
                <w:szCs w:val="20"/>
              </w:rPr>
              <w:t>once the ambition of the collaboration is bett</w:t>
            </w:r>
            <w:r w:rsidR="007F59D4">
              <w:rPr>
                <w:rFonts w:ascii="Lucida Sans" w:hAnsi="Lucida Sans"/>
                <w:sz w:val="20"/>
                <w:szCs w:val="20"/>
              </w:rPr>
              <w:t>er defined.  AAJ suggested the B</w:t>
            </w:r>
            <w:r>
              <w:rPr>
                <w:rFonts w:ascii="Lucida Sans" w:hAnsi="Lucida Sans"/>
                <w:sz w:val="20"/>
                <w:szCs w:val="20"/>
              </w:rPr>
              <w:t>oard reviews the TORs</w:t>
            </w:r>
            <w:r w:rsidR="00961275">
              <w:rPr>
                <w:rFonts w:ascii="Lucida Sans" w:hAnsi="Lucida Sans"/>
                <w:sz w:val="20"/>
                <w:szCs w:val="20"/>
              </w:rPr>
              <w:t xml:space="preserve"> of all three groups at its first meeting. </w:t>
            </w:r>
          </w:p>
        </w:tc>
        <w:tc>
          <w:tcPr>
            <w:tcW w:w="993" w:type="dxa"/>
            <w:shd w:val="clear" w:color="auto" w:fill="auto"/>
          </w:tcPr>
          <w:p w14:paraId="3DCB4AFE" w14:textId="77777777" w:rsidR="005204F5" w:rsidRPr="00414541" w:rsidRDefault="005204F5" w:rsidP="00CC65B4">
            <w:pPr>
              <w:rPr>
                <w:sz w:val="20"/>
                <w:szCs w:val="20"/>
              </w:rPr>
            </w:pPr>
          </w:p>
          <w:p w14:paraId="3B08D089" w14:textId="77777777" w:rsidR="007833DD" w:rsidRPr="00414541" w:rsidRDefault="007833DD" w:rsidP="00CC65B4">
            <w:pPr>
              <w:rPr>
                <w:sz w:val="20"/>
                <w:szCs w:val="20"/>
              </w:rPr>
            </w:pPr>
          </w:p>
          <w:p w14:paraId="5C34DE93" w14:textId="77777777" w:rsidR="008719F2" w:rsidRDefault="008719F2" w:rsidP="00BB0F70">
            <w:pPr>
              <w:jc w:val="center"/>
              <w:rPr>
                <w:sz w:val="20"/>
                <w:szCs w:val="20"/>
              </w:rPr>
            </w:pPr>
          </w:p>
          <w:p w14:paraId="734BA031" w14:textId="77777777" w:rsidR="007F59D4" w:rsidRDefault="007F59D4" w:rsidP="00BB0F70">
            <w:pPr>
              <w:jc w:val="center"/>
              <w:rPr>
                <w:sz w:val="20"/>
                <w:szCs w:val="20"/>
              </w:rPr>
            </w:pPr>
          </w:p>
          <w:p w14:paraId="374D5C21" w14:textId="77777777" w:rsidR="007F59D4" w:rsidRDefault="007F59D4" w:rsidP="00BB0F70">
            <w:pPr>
              <w:jc w:val="center"/>
              <w:rPr>
                <w:sz w:val="20"/>
                <w:szCs w:val="20"/>
              </w:rPr>
            </w:pPr>
          </w:p>
          <w:p w14:paraId="2DD44039" w14:textId="77777777" w:rsidR="007F59D4" w:rsidRDefault="007F59D4" w:rsidP="00BB0F70">
            <w:pPr>
              <w:jc w:val="center"/>
              <w:rPr>
                <w:sz w:val="20"/>
                <w:szCs w:val="20"/>
              </w:rPr>
            </w:pPr>
          </w:p>
          <w:p w14:paraId="42B08334" w14:textId="77777777" w:rsidR="007F59D4" w:rsidRDefault="007F59D4" w:rsidP="00BB0F70">
            <w:pPr>
              <w:jc w:val="center"/>
              <w:rPr>
                <w:sz w:val="20"/>
                <w:szCs w:val="20"/>
              </w:rPr>
            </w:pPr>
          </w:p>
          <w:p w14:paraId="08A63A16" w14:textId="77777777" w:rsidR="007F59D4" w:rsidRDefault="007F59D4" w:rsidP="00BB0F70">
            <w:pPr>
              <w:jc w:val="center"/>
              <w:rPr>
                <w:sz w:val="20"/>
                <w:szCs w:val="20"/>
              </w:rPr>
            </w:pPr>
          </w:p>
          <w:p w14:paraId="6C0F0973" w14:textId="77777777" w:rsidR="007F59D4" w:rsidRDefault="007F59D4" w:rsidP="00BB0F70">
            <w:pPr>
              <w:jc w:val="center"/>
              <w:rPr>
                <w:sz w:val="20"/>
                <w:szCs w:val="20"/>
              </w:rPr>
            </w:pPr>
          </w:p>
          <w:p w14:paraId="17EA681B" w14:textId="77777777" w:rsidR="007F59D4" w:rsidRDefault="007F59D4" w:rsidP="00BB0F70">
            <w:pPr>
              <w:jc w:val="center"/>
              <w:rPr>
                <w:sz w:val="20"/>
                <w:szCs w:val="20"/>
              </w:rPr>
            </w:pPr>
          </w:p>
          <w:p w14:paraId="16A899DF" w14:textId="77777777" w:rsidR="007F59D4" w:rsidRDefault="007F59D4" w:rsidP="00BB0F70">
            <w:pPr>
              <w:jc w:val="center"/>
              <w:rPr>
                <w:sz w:val="20"/>
                <w:szCs w:val="20"/>
              </w:rPr>
            </w:pPr>
          </w:p>
          <w:p w14:paraId="5D23AD1E" w14:textId="77777777" w:rsidR="007F59D4" w:rsidRDefault="007F59D4" w:rsidP="00BB0F70">
            <w:pPr>
              <w:jc w:val="center"/>
              <w:rPr>
                <w:sz w:val="20"/>
                <w:szCs w:val="20"/>
              </w:rPr>
            </w:pPr>
          </w:p>
          <w:p w14:paraId="3CB53F13" w14:textId="77777777" w:rsidR="007F59D4" w:rsidRDefault="007F59D4" w:rsidP="00BB0F70">
            <w:pPr>
              <w:jc w:val="center"/>
              <w:rPr>
                <w:sz w:val="20"/>
                <w:szCs w:val="20"/>
              </w:rPr>
            </w:pPr>
          </w:p>
          <w:p w14:paraId="10419A51" w14:textId="77777777" w:rsidR="007F59D4" w:rsidRDefault="007F59D4" w:rsidP="00BB0F70">
            <w:pPr>
              <w:jc w:val="center"/>
              <w:rPr>
                <w:sz w:val="20"/>
                <w:szCs w:val="20"/>
              </w:rPr>
            </w:pPr>
          </w:p>
          <w:p w14:paraId="3FC9C3CF" w14:textId="77777777" w:rsidR="007F59D4" w:rsidRDefault="007F59D4" w:rsidP="00BB0F70">
            <w:pPr>
              <w:jc w:val="center"/>
              <w:rPr>
                <w:sz w:val="20"/>
                <w:szCs w:val="20"/>
              </w:rPr>
            </w:pPr>
          </w:p>
          <w:p w14:paraId="3A69A062" w14:textId="77777777" w:rsidR="007F59D4" w:rsidRDefault="007F59D4" w:rsidP="00BB0F70">
            <w:pPr>
              <w:jc w:val="center"/>
              <w:rPr>
                <w:sz w:val="20"/>
                <w:szCs w:val="20"/>
              </w:rPr>
            </w:pPr>
          </w:p>
          <w:p w14:paraId="013AB4AF" w14:textId="77777777" w:rsidR="007F59D4" w:rsidRDefault="007F59D4" w:rsidP="00BB0F70">
            <w:pPr>
              <w:jc w:val="center"/>
              <w:rPr>
                <w:sz w:val="20"/>
                <w:szCs w:val="20"/>
              </w:rPr>
            </w:pPr>
          </w:p>
          <w:p w14:paraId="44325253" w14:textId="77777777" w:rsidR="007F59D4" w:rsidRDefault="007F59D4" w:rsidP="00443426">
            <w:pPr>
              <w:rPr>
                <w:sz w:val="20"/>
                <w:szCs w:val="20"/>
              </w:rPr>
            </w:pPr>
          </w:p>
          <w:p w14:paraId="598D0F32" w14:textId="77777777" w:rsidR="007F59D4" w:rsidRPr="007F59D4" w:rsidRDefault="007F59D4" w:rsidP="00BB0F70">
            <w:pPr>
              <w:jc w:val="center"/>
              <w:rPr>
                <w:b/>
                <w:sz w:val="20"/>
                <w:szCs w:val="20"/>
              </w:rPr>
            </w:pPr>
            <w:r w:rsidRPr="007F59D4">
              <w:rPr>
                <w:b/>
                <w:sz w:val="20"/>
                <w:szCs w:val="20"/>
              </w:rPr>
              <w:t>LC</w:t>
            </w:r>
            <w:r w:rsidR="00443426">
              <w:rPr>
                <w:b/>
                <w:sz w:val="20"/>
                <w:szCs w:val="20"/>
              </w:rPr>
              <w:t>/LA</w:t>
            </w:r>
          </w:p>
          <w:p w14:paraId="138CDCB0" w14:textId="77777777" w:rsidR="007F59D4" w:rsidRDefault="007F59D4" w:rsidP="00BB0F70">
            <w:pPr>
              <w:jc w:val="center"/>
              <w:rPr>
                <w:sz w:val="20"/>
                <w:szCs w:val="20"/>
              </w:rPr>
            </w:pPr>
          </w:p>
          <w:p w14:paraId="1DFB1884" w14:textId="77777777" w:rsidR="007F59D4" w:rsidRDefault="007F59D4" w:rsidP="00BB0F70">
            <w:pPr>
              <w:jc w:val="center"/>
              <w:rPr>
                <w:sz w:val="20"/>
                <w:szCs w:val="20"/>
              </w:rPr>
            </w:pPr>
          </w:p>
          <w:p w14:paraId="44E84BDB" w14:textId="77777777" w:rsidR="007F59D4" w:rsidRDefault="007F59D4" w:rsidP="00BB0F70">
            <w:pPr>
              <w:jc w:val="center"/>
              <w:rPr>
                <w:sz w:val="20"/>
                <w:szCs w:val="20"/>
              </w:rPr>
            </w:pPr>
          </w:p>
          <w:p w14:paraId="1EB2EA7A" w14:textId="77777777" w:rsidR="007F59D4" w:rsidRDefault="007F59D4" w:rsidP="00BB0F70">
            <w:pPr>
              <w:jc w:val="center"/>
              <w:rPr>
                <w:sz w:val="20"/>
                <w:szCs w:val="20"/>
              </w:rPr>
            </w:pPr>
          </w:p>
          <w:p w14:paraId="50D9FC99" w14:textId="77777777" w:rsidR="00443426" w:rsidRDefault="00443426" w:rsidP="00BB0F70">
            <w:pPr>
              <w:jc w:val="center"/>
              <w:rPr>
                <w:sz w:val="20"/>
                <w:szCs w:val="20"/>
              </w:rPr>
            </w:pPr>
          </w:p>
          <w:p w14:paraId="43158D57" w14:textId="77777777" w:rsidR="007F59D4" w:rsidRDefault="007F59D4" w:rsidP="00BB0F70">
            <w:pPr>
              <w:jc w:val="center"/>
              <w:rPr>
                <w:sz w:val="20"/>
                <w:szCs w:val="20"/>
              </w:rPr>
            </w:pPr>
            <w:r>
              <w:rPr>
                <w:sz w:val="20"/>
                <w:szCs w:val="20"/>
              </w:rPr>
              <w:t>AKMH</w:t>
            </w:r>
          </w:p>
          <w:p w14:paraId="2CDC2058" w14:textId="77777777" w:rsidR="007F59D4" w:rsidRDefault="007F59D4" w:rsidP="00BB0F70">
            <w:pPr>
              <w:jc w:val="center"/>
              <w:rPr>
                <w:sz w:val="20"/>
                <w:szCs w:val="20"/>
              </w:rPr>
            </w:pPr>
          </w:p>
          <w:p w14:paraId="13D18C5D" w14:textId="77777777" w:rsidR="007F59D4" w:rsidRDefault="007F59D4" w:rsidP="00BB0F70">
            <w:pPr>
              <w:jc w:val="center"/>
              <w:rPr>
                <w:sz w:val="20"/>
                <w:szCs w:val="20"/>
              </w:rPr>
            </w:pPr>
          </w:p>
          <w:p w14:paraId="69028EB2" w14:textId="77777777" w:rsidR="007F59D4" w:rsidRDefault="007F59D4" w:rsidP="00BB0F70">
            <w:pPr>
              <w:jc w:val="center"/>
              <w:rPr>
                <w:sz w:val="20"/>
                <w:szCs w:val="20"/>
              </w:rPr>
            </w:pPr>
          </w:p>
          <w:p w14:paraId="2229245F" w14:textId="77777777" w:rsidR="007F59D4" w:rsidRDefault="007F59D4" w:rsidP="00BB0F70">
            <w:pPr>
              <w:jc w:val="center"/>
              <w:rPr>
                <w:sz w:val="20"/>
                <w:szCs w:val="20"/>
              </w:rPr>
            </w:pPr>
            <w:r>
              <w:rPr>
                <w:sz w:val="20"/>
                <w:szCs w:val="20"/>
              </w:rPr>
              <w:t>AKMH</w:t>
            </w:r>
          </w:p>
          <w:p w14:paraId="1F6524F5" w14:textId="77777777" w:rsidR="007F59D4" w:rsidRDefault="007F59D4" w:rsidP="00BB0F70">
            <w:pPr>
              <w:jc w:val="center"/>
              <w:rPr>
                <w:sz w:val="20"/>
                <w:szCs w:val="20"/>
              </w:rPr>
            </w:pPr>
          </w:p>
          <w:p w14:paraId="064799AF" w14:textId="77777777" w:rsidR="007F59D4" w:rsidRDefault="007F59D4" w:rsidP="00BB0F70">
            <w:pPr>
              <w:jc w:val="center"/>
              <w:rPr>
                <w:sz w:val="20"/>
                <w:szCs w:val="20"/>
              </w:rPr>
            </w:pPr>
          </w:p>
          <w:p w14:paraId="03DF776A" w14:textId="77777777" w:rsidR="007F59D4" w:rsidRDefault="007F59D4" w:rsidP="00BB0F70">
            <w:pPr>
              <w:jc w:val="center"/>
              <w:rPr>
                <w:sz w:val="20"/>
                <w:szCs w:val="20"/>
              </w:rPr>
            </w:pPr>
          </w:p>
          <w:p w14:paraId="2EF4D0C3" w14:textId="77777777" w:rsidR="007F59D4" w:rsidRPr="00414541" w:rsidRDefault="007F59D4" w:rsidP="00BB0F70">
            <w:pPr>
              <w:jc w:val="center"/>
              <w:rPr>
                <w:sz w:val="20"/>
                <w:szCs w:val="20"/>
              </w:rPr>
            </w:pPr>
          </w:p>
        </w:tc>
      </w:tr>
      <w:tr w:rsidR="007441EE" w:rsidRPr="00414541" w14:paraId="43C450CB" w14:textId="77777777" w:rsidTr="00CF5532">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7F87710F" w14:textId="77777777" w:rsidR="007441EE" w:rsidRPr="00414541" w:rsidRDefault="007441EE" w:rsidP="00CC65B4">
            <w:pPr>
              <w:rPr>
                <w:b/>
                <w:sz w:val="20"/>
                <w:szCs w:val="20"/>
              </w:rPr>
            </w:pPr>
            <w:r w:rsidRPr="00414541">
              <w:rPr>
                <w:b/>
                <w:sz w:val="20"/>
                <w:szCs w:val="20"/>
              </w:rPr>
              <w:lastRenderedPageBreak/>
              <w:t>2.</w:t>
            </w:r>
          </w:p>
        </w:tc>
        <w:tc>
          <w:tcPr>
            <w:tcW w:w="7989" w:type="dxa"/>
            <w:gridSpan w:val="4"/>
            <w:shd w:val="clear" w:color="auto" w:fill="auto"/>
          </w:tcPr>
          <w:p w14:paraId="0A093FEB" w14:textId="77777777" w:rsidR="007441EE" w:rsidRPr="00414541" w:rsidRDefault="007441EE" w:rsidP="00752871">
            <w:pPr>
              <w:spacing w:after="120" w:line="240" w:lineRule="auto"/>
              <w:rPr>
                <w:rFonts w:cs="Arial"/>
                <w:b/>
                <w:sz w:val="20"/>
                <w:szCs w:val="20"/>
              </w:rPr>
            </w:pPr>
            <w:r w:rsidRPr="00414541">
              <w:rPr>
                <w:rFonts w:cs="Arial"/>
                <w:b/>
                <w:sz w:val="20"/>
                <w:szCs w:val="20"/>
              </w:rPr>
              <w:t xml:space="preserve">Mapping – preliminary results </w:t>
            </w:r>
          </w:p>
          <w:p w14:paraId="1FE5D5F1" w14:textId="32AAA945" w:rsidR="007441EE" w:rsidRDefault="007441EE" w:rsidP="00204F28">
            <w:pPr>
              <w:pStyle w:val="ColorfulList-Accent11"/>
              <w:ind w:left="0"/>
              <w:rPr>
                <w:rFonts w:ascii="Lucida Sans" w:hAnsi="Lucida Sans"/>
                <w:sz w:val="20"/>
                <w:szCs w:val="20"/>
              </w:rPr>
            </w:pPr>
            <w:r w:rsidRPr="00414541">
              <w:rPr>
                <w:rFonts w:ascii="Lucida Sans" w:hAnsi="Lucida Sans"/>
                <w:sz w:val="20"/>
                <w:szCs w:val="20"/>
              </w:rPr>
              <w:t xml:space="preserve">MJW and AKMH presented a summary of the results of the mapping activity.  </w:t>
            </w:r>
            <w:r>
              <w:rPr>
                <w:rFonts w:ascii="Lucida Sans" w:hAnsi="Lucida Sans"/>
                <w:sz w:val="20"/>
                <w:szCs w:val="20"/>
              </w:rPr>
              <w:t xml:space="preserve">MJW emphasised that the results are preliminary and will need to be revisited at a later stage.  This is a first go at filling a clearly identified need to get a picture of research in the UK. We will compare the results of the mapping against people’s perceptions of gaps (informed from the patient and clinicians surveys).  MJW noted that the final number of awards included (158) is very small, given nutrition and cancer </w:t>
            </w:r>
            <w:r w:rsidR="00B97920">
              <w:rPr>
                <w:rFonts w:ascii="Lucida Sans" w:hAnsi="Lucida Sans"/>
                <w:sz w:val="20"/>
                <w:szCs w:val="20"/>
              </w:rPr>
              <w:t>is</w:t>
            </w:r>
            <w:r>
              <w:rPr>
                <w:rFonts w:ascii="Lucida Sans" w:hAnsi="Lucida Sans"/>
                <w:sz w:val="20"/>
                <w:szCs w:val="20"/>
              </w:rPr>
              <w:t xml:space="preserve"> such an important area. AAJ stressed that the mapping exercise was not designed to be too detailed but to get an overall sense of the picture. </w:t>
            </w:r>
          </w:p>
          <w:p w14:paraId="4F4D4189" w14:textId="77777777" w:rsidR="007441EE" w:rsidRDefault="007441EE" w:rsidP="00F90CB7">
            <w:pPr>
              <w:pStyle w:val="ColorfulList-Accent11"/>
              <w:ind w:left="0"/>
              <w:rPr>
                <w:rFonts w:ascii="Lucida Sans" w:hAnsi="Lucida Sans"/>
                <w:sz w:val="20"/>
                <w:szCs w:val="20"/>
              </w:rPr>
            </w:pPr>
          </w:p>
          <w:p w14:paraId="61D80D71" w14:textId="77777777" w:rsidR="007441EE" w:rsidRDefault="007441EE" w:rsidP="00F12E28">
            <w:pPr>
              <w:pStyle w:val="ColorfulList-Accent11"/>
              <w:ind w:left="0"/>
              <w:rPr>
                <w:rFonts w:ascii="Lucida Sans" w:hAnsi="Lucida Sans"/>
                <w:sz w:val="20"/>
                <w:szCs w:val="20"/>
              </w:rPr>
            </w:pPr>
            <w:r>
              <w:rPr>
                <w:rFonts w:ascii="Lucida Sans" w:hAnsi="Lucida Sans"/>
                <w:sz w:val="20"/>
                <w:szCs w:val="20"/>
              </w:rPr>
              <w:t xml:space="preserve">MJW explained that the most common type of awards are about infrastructure and delivery of services, rather than understanding the biology of the nutrition and cancer as a basis for therapy.  There is also a substantial amount of work going into aetiology and prevention.  </w:t>
            </w:r>
          </w:p>
          <w:p w14:paraId="38889EBD" w14:textId="77777777" w:rsidR="007441EE" w:rsidRDefault="007441EE" w:rsidP="00F90CB7">
            <w:pPr>
              <w:pStyle w:val="ColorfulList-Accent11"/>
              <w:ind w:left="0"/>
              <w:rPr>
                <w:rFonts w:ascii="Lucida Sans" w:hAnsi="Lucida Sans"/>
                <w:sz w:val="20"/>
                <w:szCs w:val="20"/>
              </w:rPr>
            </w:pPr>
          </w:p>
          <w:p w14:paraId="6C3E87B5" w14:textId="642ECC82" w:rsidR="007441EE" w:rsidRDefault="007441EE" w:rsidP="0057392A">
            <w:pPr>
              <w:pStyle w:val="ColorfulList-Accent11"/>
              <w:ind w:left="0"/>
              <w:rPr>
                <w:rFonts w:ascii="Lucida Sans" w:hAnsi="Lucida Sans"/>
                <w:sz w:val="20"/>
                <w:szCs w:val="20"/>
              </w:rPr>
            </w:pPr>
            <w:r>
              <w:rPr>
                <w:rFonts w:ascii="Lucida Sans" w:hAnsi="Lucida Sans"/>
                <w:sz w:val="20"/>
                <w:szCs w:val="20"/>
              </w:rPr>
              <w:t xml:space="preserve">MJW presented an overview of awards according to nutrition sub-themes.  He noted that body composition is very far down the list </w:t>
            </w:r>
            <w:r w:rsidR="00B97920">
              <w:rPr>
                <w:rFonts w:ascii="Lucida Sans" w:hAnsi="Lucida Sans"/>
                <w:sz w:val="20"/>
                <w:szCs w:val="20"/>
              </w:rPr>
              <w:t xml:space="preserve">(although anthropometry, which appears separately, may address similar issues), </w:t>
            </w:r>
            <w:r>
              <w:rPr>
                <w:rFonts w:ascii="Lucida Sans" w:hAnsi="Lucida Sans"/>
                <w:sz w:val="20"/>
                <w:szCs w:val="20"/>
              </w:rPr>
              <w:t>while dietary exposures seem to dominate where funding is going.</w:t>
            </w:r>
          </w:p>
          <w:p w14:paraId="35E91CCC" w14:textId="77777777" w:rsidR="007441EE" w:rsidRDefault="007441EE" w:rsidP="0057392A">
            <w:pPr>
              <w:pStyle w:val="ColorfulList-Accent11"/>
              <w:ind w:left="0"/>
              <w:rPr>
                <w:rFonts w:ascii="Lucida Sans" w:hAnsi="Lucida Sans"/>
                <w:sz w:val="20"/>
                <w:szCs w:val="20"/>
              </w:rPr>
            </w:pPr>
          </w:p>
          <w:p w14:paraId="4B028345" w14:textId="77777777" w:rsidR="007441EE" w:rsidRDefault="007441EE" w:rsidP="0057392A">
            <w:pPr>
              <w:pStyle w:val="ColorfulList-Accent11"/>
              <w:ind w:left="0"/>
              <w:rPr>
                <w:rFonts w:ascii="Lucida Sans" w:hAnsi="Lucida Sans"/>
                <w:sz w:val="20"/>
                <w:szCs w:val="20"/>
              </w:rPr>
            </w:pPr>
            <w:r>
              <w:rPr>
                <w:rFonts w:ascii="Lucida Sans" w:hAnsi="Lucida Sans"/>
                <w:sz w:val="20"/>
                <w:szCs w:val="20"/>
              </w:rPr>
              <w:t xml:space="preserve">MJW highlighted three key findings: </w:t>
            </w:r>
          </w:p>
          <w:p w14:paraId="3A72BAA5" w14:textId="77777777" w:rsidR="007441EE" w:rsidRDefault="007441EE" w:rsidP="0057392A">
            <w:pPr>
              <w:pStyle w:val="ColorfulList-Accent11"/>
              <w:numPr>
                <w:ilvl w:val="0"/>
                <w:numId w:val="21"/>
              </w:numPr>
              <w:rPr>
                <w:rFonts w:ascii="Lucida Sans" w:hAnsi="Lucida Sans"/>
                <w:sz w:val="20"/>
                <w:szCs w:val="20"/>
              </w:rPr>
            </w:pPr>
            <w:r>
              <w:rPr>
                <w:rFonts w:ascii="Lucida Sans" w:hAnsi="Lucida Sans"/>
                <w:sz w:val="20"/>
                <w:szCs w:val="20"/>
              </w:rPr>
              <w:t>There is a relatively small amount of money dedicated to nutrition and cancer</w:t>
            </w:r>
          </w:p>
          <w:p w14:paraId="5E6F17D8" w14:textId="77777777" w:rsidR="007441EE" w:rsidRDefault="007441EE" w:rsidP="0057392A">
            <w:pPr>
              <w:pStyle w:val="ColorfulList-Accent11"/>
              <w:numPr>
                <w:ilvl w:val="0"/>
                <w:numId w:val="21"/>
              </w:numPr>
              <w:rPr>
                <w:rFonts w:ascii="Lucida Sans" w:hAnsi="Lucida Sans"/>
                <w:sz w:val="20"/>
                <w:szCs w:val="20"/>
              </w:rPr>
            </w:pPr>
            <w:r>
              <w:rPr>
                <w:rFonts w:ascii="Lucida Sans" w:hAnsi="Lucida Sans"/>
                <w:sz w:val="20"/>
                <w:szCs w:val="20"/>
              </w:rPr>
              <w:lastRenderedPageBreak/>
              <w:t xml:space="preserve">A large proportion of funding goes to infrastructure rather than to understanding the biology of disease. </w:t>
            </w:r>
          </w:p>
          <w:p w14:paraId="66F29361" w14:textId="70C6FCA7" w:rsidR="007441EE" w:rsidRDefault="007441EE" w:rsidP="0057392A">
            <w:pPr>
              <w:pStyle w:val="ColorfulList-Accent11"/>
              <w:numPr>
                <w:ilvl w:val="0"/>
                <w:numId w:val="21"/>
              </w:numPr>
              <w:rPr>
                <w:rFonts w:ascii="Lucida Sans" w:hAnsi="Lucida Sans"/>
                <w:sz w:val="20"/>
                <w:szCs w:val="20"/>
              </w:rPr>
            </w:pPr>
            <w:r>
              <w:rPr>
                <w:rFonts w:ascii="Lucida Sans" w:hAnsi="Lucida Sans"/>
                <w:sz w:val="20"/>
                <w:szCs w:val="20"/>
              </w:rPr>
              <w:t>It is not clear if these awards are trying to answer the most pressing questions or</w:t>
            </w:r>
            <w:r w:rsidR="00B97920">
              <w:rPr>
                <w:rFonts w:ascii="Lucida Sans" w:hAnsi="Lucida Sans"/>
                <w:sz w:val="20"/>
                <w:szCs w:val="20"/>
              </w:rPr>
              <w:t>,</w:t>
            </w:r>
            <w:r>
              <w:rPr>
                <w:rFonts w:ascii="Lucida Sans" w:hAnsi="Lucida Sans"/>
                <w:sz w:val="20"/>
                <w:szCs w:val="20"/>
              </w:rPr>
              <w:t xml:space="preserve"> those that present the biggest burden</w:t>
            </w:r>
            <w:r w:rsidR="00B97920">
              <w:rPr>
                <w:rFonts w:ascii="Lucida Sans" w:hAnsi="Lucida Sans"/>
                <w:sz w:val="20"/>
                <w:szCs w:val="20"/>
              </w:rPr>
              <w:t>, or those where answers might more easily be obtained</w:t>
            </w:r>
            <w:r>
              <w:rPr>
                <w:rFonts w:ascii="Lucida Sans" w:hAnsi="Lucida Sans"/>
                <w:sz w:val="20"/>
                <w:szCs w:val="20"/>
              </w:rPr>
              <w:t xml:space="preserve">. </w:t>
            </w:r>
          </w:p>
          <w:p w14:paraId="030CEF3F" w14:textId="77777777" w:rsidR="007441EE" w:rsidRDefault="007441EE" w:rsidP="00F90CB7">
            <w:pPr>
              <w:pStyle w:val="ColorfulList-Accent11"/>
              <w:ind w:left="0"/>
              <w:rPr>
                <w:rFonts w:ascii="Lucida Sans" w:hAnsi="Lucida Sans"/>
                <w:sz w:val="20"/>
                <w:szCs w:val="20"/>
              </w:rPr>
            </w:pPr>
          </w:p>
          <w:p w14:paraId="2242F2CB" w14:textId="1CD78CE1" w:rsidR="007441EE" w:rsidRDefault="007441EE" w:rsidP="00440FC6">
            <w:pPr>
              <w:pStyle w:val="ColorfulList-Accent11"/>
              <w:ind w:left="0"/>
              <w:rPr>
                <w:rFonts w:ascii="Lucida Sans" w:hAnsi="Lucida Sans"/>
                <w:sz w:val="20"/>
                <w:szCs w:val="20"/>
              </w:rPr>
            </w:pPr>
            <w:r>
              <w:rPr>
                <w:rFonts w:ascii="Lucida Sans" w:hAnsi="Lucida Sans"/>
                <w:sz w:val="20"/>
                <w:szCs w:val="20"/>
              </w:rPr>
              <w:t>KB asked if dietary compounds and components were excluded from the mapping</w:t>
            </w:r>
            <w:r w:rsidR="00B97920">
              <w:rPr>
                <w:rFonts w:ascii="Lucida Sans" w:hAnsi="Lucida Sans"/>
                <w:sz w:val="20"/>
                <w:szCs w:val="20"/>
              </w:rPr>
              <w:t xml:space="preserve">. </w:t>
            </w:r>
            <w:r>
              <w:rPr>
                <w:rFonts w:ascii="Lucida Sans" w:hAnsi="Lucida Sans"/>
                <w:sz w:val="20"/>
                <w:szCs w:val="20"/>
              </w:rPr>
              <w:t xml:space="preserve"> RIC said that if the dose was relevant to a dietary dose it was included. She also asked if specific components of food and cancer risk are included; MJW confirmed they are</w:t>
            </w:r>
            <w:r w:rsidR="00B97920">
              <w:rPr>
                <w:rFonts w:ascii="Lucida Sans" w:hAnsi="Lucida Sans"/>
                <w:sz w:val="20"/>
                <w:szCs w:val="20"/>
              </w:rPr>
              <w:t xml:space="preserve"> not exclude</w:t>
            </w:r>
            <w:r w:rsidR="007A70C2">
              <w:rPr>
                <w:rFonts w:ascii="Lucida Sans" w:hAnsi="Lucida Sans"/>
                <w:sz w:val="20"/>
                <w:szCs w:val="20"/>
              </w:rPr>
              <w:t>d</w:t>
            </w:r>
            <w:r w:rsidR="00B97920">
              <w:rPr>
                <w:rFonts w:ascii="Lucida Sans" w:hAnsi="Lucida Sans"/>
                <w:sz w:val="20"/>
                <w:szCs w:val="20"/>
              </w:rPr>
              <w:t xml:space="preserve"> so long as the dose and means of exposure were relevant to cancer in free-living humans</w:t>
            </w:r>
            <w:r>
              <w:rPr>
                <w:rFonts w:ascii="Lucida Sans" w:hAnsi="Lucida Sans"/>
                <w:sz w:val="20"/>
                <w:szCs w:val="20"/>
              </w:rPr>
              <w:t xml:space="preserve">.  </w:t>
            </w:r>
            <w:r w:rsidRPr="00414541">
              <w:rPr>
                <w:rFonts w:ascii="Lucida Sans" w:hAnsi="Lucida Sans"/>
                <w:sz w:val="20"/>
                <w:szCs w:val="20"/>
              </w:rPr>
              <w:tab/>
            </w:r>
          </w:p>
          <w:p w14:paraId="7D692458" w14:textId="77777777" w:rsidR="007441EE" w:rsidRDefault="007441EE" w:rsidP="00440FC6">
            <w:pPr>
              <w:pStyle w:val="ColorfulList-Accent11"/>
              <w:ind w:left="0"/>
              <w:rPr>
                <w:rFonts w:ascii="Lucida Sans" w:hAnsi="Lucida Sans"/>
                <w:sz w:val="20"/>
                <w:szCs w:val="20"/>
              </w:rPr>
            </w:pPr>
          </w:p>
          <w:p w14:paraId="45A44991" w14:textId="7954F3A7" w:rsidR="007441EE" w:rsidRDefault="007441EE" w:rsidP="00440FC6">
            <w:pPr>
              <w:pStyle w:val="ColorfulList-Accent11"/>
              <w:ind w:left="0"/>
              <w:rPr>
                <w:rFonts w:ascii="Lucida Sans" w:hAnsi="Lucida Sans"/>
                <w:sz w:val="20"/>
                <w:szCs w:val="20"/>
              </w:rPr>
            </w:pPr>
            <w:r>
              <w:rPr>
                <w:rFonts w:ascii="Lucida Sans" w:hAnsi="Lucida Sans"/>
                <w:sz w:val="20"/>
                <w:szCs w:val="20"/>
              </w:rPr>
              <w:t xml:space="preserve">LT noticed that since presenting at NCRI, the inclusion criteria have been changed </w:t>
            </w:r>
            <w:r w:rsidR="006D77C3">
              <w:rPr>
                <w:rFonts w:ascii="Lucida Sans" w:hAnsi="Lucida Sans"/>
                <w:sz w:val="20"/>
                <w:szCs w:val="20"/>
              </w:rPr>
              <w:t xml:space="preserve">and now </w:t>
            </w:r>
            <w:r>
              <w:rPr>
                <w:rFonts w:ascii="Lucida Sans" w:hAnsi="Lucida Sans"/>
                <w:sz w:val="20"/>
                <w:szCs w:val="20"/>
              </w:rPr>
              <w:t>include studies with cancer as a secondary objective. This decision was made because there was a risk of excluding relevant studies</w:t>
            </w:r>
            <w:r w:rsidR="006D77C3">
              <w:rPr>
                <w:rFonts w:ascii="Lucida Sans" w:hAnsi="Lucida Sans"/>
                <w:sz w:val="20"/>
                <w:szCs w:val="20"/>
              </w:rPr>
              <w:t xml:space="preserve"> if only looking at studies with cancer as a primary objective</w:t>
            </w:r>
            <w:r>
              <w:rPr>
                <w:rFonts w:ascii="Lucida Sans" w:hAnsi="Lucida Sans"/>
                <w:sz w:val="20"/>
                <w:szCs w:val="20"/>
              </w:rPr>
              <w:t xml:space="preserve">.  LT agreed that this was a sensible approach. </w:t>
            </w:r>
          </w:p>
          <w:p w14:paraId="4AA7146B" w14:textId="77777777" w:rsidR="007441EE" w:rsidRDefault="007441EE" w:rsidP="00440FC6">
            <w:pPr>
              <w:pStyle w:val="ColorfulList-Accent11"/>
              <w:ind w:left="0"/>
              <w:rPr>
                <w:rFonts w:ascii="Lucida Sans" w:hAnsi="Lucida Sans"/>
                <w:sz w:val="20"/>
                <w:szCs w:val="20"/>
              </w:rPr>
            </w:pPr>
          </w:p>
          <w:p w14:paraId="06C7376C" w14:textId="77777777" w:rsidR="007441EE" w:rsidRDefault="007441EE" w:rsidP="00440FC6">
            <w:pPr>
              <w:pStyle w:val="ColorfulList-Accent11"/>
              <w:ind w:left="0"/>
              <w:rPr>
                <w:rFonts w:ascii="Lucida Sans" w:hAnsi="Lucida Sans"/>
                <w:sz w:val="20"/>
                <w:szCs w:val="20"/>
              </w:rPr>
            </w:pPr>
            <w:r>
              <w:rPr>
                <w:rFonts w:ascii="Lucida Sans" w:hAnsi="Lucida Sans"/>
                <w:sz w:val="20"/>
                <w:szCs w:val="20"/>
              </w:rPr>
              <w:t>KB asked if the NCRI database includes awards from international funders.  AKMH said that it is only UK-based funding but that it may fund awards which involve international research.</w:t>
            </w:r>
          </w:p>
          <w:p w14:paraId="23A5E8F4" w14:textId="77777777" w:rsidR="007441EE" w:rsidRDefault="007441EE" w:rsidP="00440FC6">
            <w:pPr>
              <w:pStyle w:val="ColorfulList-Accent11"/>
              <w:ind w:left="0"/>
              <w:rPr>
                <w:rFonts w:ascii="Lucida Sans" w:hAnsi="Lucida Sans"/>
                <w:sz w:val="20"/>
                <w:szCs w:val="20"/>
              </w:rPr>
            </w:pPr>
          </w:p>
          <w:p w14:paraId="2EE68D64" w14:textId="20F1DD22" w:rsidR="007441EE" w:rsidRDefault="007441EE" w:rsidP="00440FC6">
            <w:pPr>
              <w:pStyle w:val="ColorfulList-Accent11"/>
              <w:ind w:left="0"/>
              <w:rPr>
                <w:rFonts w:ascii="Lucida Sans" w:hAnsi="Lucida Sans"/>
                <w:sz w:val="20"/>
                <w:szCs w:val="20"/>
              </w:rPr>
            </w:pPr>
            <w:r>
              <w:rPr>
                <w:rFonts w:ascii="Lucida Sans" w:hAnsi="Lucida Sans"/>
                <w:sz w:val="20"/>
                <w:szCs w:val="20"/>
              </w:rPr>
              <w:t xml:space="preserve">LT asked what ‘non-specific lifestyle factors’ are.  AKMH said that the final report will include detailed definitions of nutrition sub-themes.  AAJ said that a fundamental problem that </w:t>
            </w:r>
            <w:r w:rsidR="00F73D19">
              <w:rPr>
                <w:rFonts w:ascii="Lucida Sans" w:hAnsi="Lucida Sans"/>
                <w:sz w:val="20"/>
                <w:szCs w:val="20"/>
              </w:rPr>
              <w:t>t</w:t>
            </w:r>
            <w:r>
              <w:rPr>
                <w:rFonts w:ascii="Lucida Sans" w:hAnsi="Lucida Sans"/>
                <w:sz w:val="20"/>
                <w:szCs w:val="20"/>
              </w:rPr>
              <w:t xml:space="preserve">his work highlights is that there is currently no common and structured language to communicate nutrition themes within cancer research.  </w:t>
            </w:r>
          </w:p>
          <w:p w14:paraId="5DCB0A5F" w14:textId="77777777" w:rsidR="007441EE" w:rsidRDefault="007441EE" w:rsidP="00440FC6">
            <w:pPr>
              <w:pStyle w:val="ColorfulList-Accent11"/>
              <w:ind w:left="0"/>
              <w:rPr>
                <w:rFonts w:ascii="Lucida Sans" w:hAnsi="Lucida Sans"/>
                <w:sz w:val="20"/>
                <w:szCs w:val="20"/>
              </w:rPr>
            </w:pPr>
          </w:p>
          <w:p w14:paraId="5159BE92" w14:textId="77777777" w:rsidR="007441EE" w:rsidRDefault="007441EE" w:rsidP="00440FC6">
            <w:pPr>
              <w:pStyle w:val="ColorfulList-Accent11"/>
              <w:ind w:left="0"/>
              <w:rPr>
                <w:rFonts w:ascii="Lucida Sans" w:hAnsi="Lucida Sans"/>
                <w:sz w:val="20"/>
                <w:szCs w:val="20"/>
              </w:rPr>
            </w:pPr>
            <w:r>
              <w:rPr>
                <w:rFonts w:ascii="Lucida Sans" w:hAnsi="Lucida Sans"/>
                <w:sz w:val="20"/>
                <w:szCs w:val="20"/>
              </w:rPr>
              <w:t>MH asked if the included awards could be mapped against funders to see if data was being steered by funders’ agendas.</w:t>
            </w:r>
            <w:r w:rsidR="006D77C3">
              <w:rPr>
                <w:rFonts w:ascii="Lucida Sans" w:hAnsi="Lucida Sans"/>
                <w:sz w:val="20"/>
                <w:szCs w:val="20"/>
              </w:rPr>
              <w:t xml:space="preserve"> YL </w:t>
            </w:r>
            <w:r w:rsidR="009025A3">
              <w:rPr>
                <w:rFonts w:ascii="Lucida Sans" w:hAnsi="Lucida Sans"/>
                <w:sz w:val="20"/>
                <w:szCs w:val="20"/>
              </w:rPr>
              <w:t xml:space="preserve">and AKMH </w:t>
            </w:r>
            <w:r w:rsidR="006D77C3">
              <w:rPr>
                <w:rFonts w:ascii="Lucida Sans" w:hAnsi="Lucida Sans"/>
                <w:sz w:val="20"/>
                <w:szCs w:val="20"/>
              </w:rPr>
              <w:t xml:space="preserve">will see if this is possible. </w:t>
            </w:r>
            <w:r>
              <w:rPr>
                <w:rFonts w:ascii="Lucida Sans" w:hAnsi="Lucida Sans"/>
                <w:sz w:val="20"/>
                <w:szCs w:val="20"/>
              </w:rPr>
              <w:t xml:space="preserve"> </w:t>
            </w:r>
          </w:p>
          <w:p w14:paraId="7AF0BBA1" w14:textId="77777777" w:rsidR="007441EE" w:rsidRDefault="007441EE" w:rsidP="00440FC6">
            <w:pPr>
              <w:pStyle w:val="ColorfulList-Accent11"/>
              <w:ind w:left="0"/>
              <w:rPr>
                <w:rFonts w:ascii="Lucida Sans" w:hAnsi="Lucida Sans"/>
                <w:sz w:val="20"/>
                <w:szCs w:val="20"/>
              </w:rPr>
            </w:pPr>
          </w:p>
          <w:p w14:paraId="005B1278" w14:textId="6BA62DA5" w:rsidR="007441EE" w:rsidRDefault="007441EE" w:rsidP="000244BF">
            <w:pPr>
              <w:pStyle w:val="ColorfulList-Accent11"/>
              <w:ind w:left="0"/>
              <w:rPr>
                <w:rFonts w:ascii="Lucida Sans" w:hAnsi="Lucida Sans"/>
                <w:sz w:val="20"/>
                <w:szCs w:val="20"/>
              </w:rPr>
            </w:pPr>
            <w:r>
              <w:rPr>
                <w:rFonts w:ascii="Lucida Sans" w:hAnsi="Lucida Sans"/>
                <w:sz w:val="20"/>
                <w:szCs w:val="20"/>
              </w:rPr>
              <w:t xml:space="preserve">LT would like to know who is funding what </w:t>
            </w:r>
            <w:r w:rsidR="00AB4216">
              <w:rPr>
                <w:rFonts w:ascii="Lucida Sans" w:hAnsi="Lucida Sans"/>
                <w:sz w:val="20"/>
                <w:szCs w:val="20"/>
              </w:rPr>
              <w:t xml:space="preserve">to see how much one could expect to get out of each funder? Unfortunately it is difficult to apportion funding to specific research questions because </w:t>
            </w:r>
            <w:r w:rsidR="00B97920">
              <w:rPr>
                <w:rFonts w:ascii="Lucida Sans" w:hAnsi="Lucida Sans"/>
                <w:sz w:val="20"/>
                <w:szCs w:val="20"/>
              </w:rPr>
              <w:t xml:space="preserve">of </w:t>
            </w:r>
            <w:r w:rsidR="00AB4216">
              <w:rPr>
                <w:rFonts w:ascii="Lucida Sans" w:hAnsi="Lucida Sans"/>
                <w:sz w:val="20"/>
                <w:szCs w:val="20"/>
              </w:rPr>
              <w:t xml:space="preserve">the nature of the NCRI data. </w:t>
            </w:r>
          </w:p>
          <w:p w14:paraId="40E02630" w14:textId="77777777" w:rsidR="007441EE" w:rsidRDefault="007441EE" w:rsidP="00214290">
            <w:pPr>
              <w:pStyle w:val="ColorfulList-Accent11"/>
              <w:ind w:left="0"/>
              <w:rPr>
                <w:rFonts w:ascii="Lucida Sans" w:hAnsi="Lucida Sans"/>
                <w:sz w:val="20"/>
                <w:szCs w:val="20"/>
              </w:rPr>
            </w:pPr>
            <w:r w:rsidRPr="00414541">
              <w:rPr>
                <w:rFonts w:ascii="Lucida Sans" w:hAnsi="Lucida Sans"/>
                <w:sz w:val="20"/>
                <w:szCs w:val="20"/>
              </w:rPr>
              <w:tab/>
            </w:r>
            <w:r w:rsidRPr="00414541">
              <w:rPr>
                <w:rFonts w:ascii="Lucida Sans" w:hAnsi="Lucida Sans"/>
                <w:sz w:val="20"/>
                <w:szCs w:val="20"/>
              </w:rPr>
              <w:tab/>
            </w:r>
          </w:p>
          <w:p w14:paraId="7225D9CD" w14:textId="77777777" w:rsidR="007441EE" w:rsidRPr="00414541" w:rsidRDefault="007441EE" w:rsidP="00D567EE">
            <w:pPr>
              <w:pStyle w:val="ColorfulList-Accent11"/>
              <w:ind w:left="0"/>
              <w:rPr>
                <w:rFonts w:ascii="Lucida Sans" w:hAnsi="Lucida Sans"/>
                <w:sz w:val="20"/>
                <w:szCs w:val="20"/>
              </w:rPr>
            </w:pPr>
            <w:r>
              <w:rPr>
                <w:rFonts w:ascii="Lucida Sans" w:hAnsi="Lucida Sans"/>
                <w:sz w:val="20"/>
                <w:szCs w:val="20"/>
              </w:rPr>
              <w:t xml:space="preserve">AAJ and MJW invited members of the SC to suggest ideas for additional analysis </w:t>
            </w:r>
            <w:r w:rsidR="00443426">
              <w:rPr>
                <w:rFonts w:ascii="Lucida Sans" w:hAnsi="Lucida Sans"/>
                <w:sz w:val="20"/>
                <w:szCs w:val="20"/>
              </w:rPr>
              <w:t>and send</w:t>
            </w:r>
            <w:r>
              <w:rPr>
                <w:rFonts w:ascii="Lucida Sans" w:hAnsi="Lucida Sans"/>
                <w:sz w:val="20"/>
                <w:szCs w:val="20"/>
              </w:rPr>
              <w:t xml:space="preserve"> to AKMH. AAJ reminded the SC that the big challenge at the start of this work was to understand what level of granularity could be expected. Given the time available, it may not be possible to include all suggestions in the current analysis but they may be useful for future work and will be included in the final report. </w:t>
            </w:r>
          </w:p>
          <w:p w14:paraId="312177F2" w14:textId="77777777" w:rsidR="007441EE" w:rsidRDefault="007441EE" w:rsidP="001040CC">
            <w:pPr>
              <w:pStyle w:val="ColorfulList-Accent11"/>
              <w:ind w:left="0"/>
              <w:rPr>
                <w:rFonts w:ascii="Lucida Sans" w:hAnsi="Lucida Sans"/>
                <w:b/>
                <w:sz w:val="20"/>
                <w:szCs w:val="20"/>
              </w:rPr>
            </w:pPr>
          </w:p>
          <w:p w14:paraId="6C035D19" w14:textId="77777777" w:rsidR="007441EE" w:rsidRDefault="007441EE" w:rsidP="001040CC">
            <w:pPr>
              <w:pStyle w:val="ColorfulList-Accent11"/>
              <w:ind w:left="0"/>
              <w:rPr>
                <w:rFonts w:ascii="Lucida Sans" w:hAnsi="Lucida Sans"/>
                <w:b/>
                <w:sz w:val="20"/>
                <w:szCs w:val="20"/>
              </w:rPr>
            </w:pPr>
            <w:r>
              <w:rPr>
                <w:rFonts w:ascii="Lucida Sans" w:hAnsi="Lucida Sans"/>
                <w:b/>
                <w:sz w:val="20"/>
                <w:szCs w:val="20"/>
              </w:rPr>
              <w:t>Plans for the f</w:t>
            </w:r>
            <w:r w:rsidRPr="001040CC">
              <w:rPr>
                <w:rFonts w:ascii="Lucida Sans" w:hAnsi="Lucida Sans"/>
                <w:b/>
                <w:sz w:val="20"/>
                <w:szCs w:val="20"/>
              </w:rPr>
              <w:t xml:space="preserve">inal report </w:t>
            </w:r>
          </w:p>
          <w:p w14:paraId="58176E48" w14:textId="77777777" w:rsidR="007441EE" w:rsidRPr="001040CC" w:rsidRDefault="007441EE" w:rsidP="001040CC">
            <w:pPr>
              <w:pStyle w:val="ColorfulList-Accent11"/>
              <w:ind w:left="0"/>
              <w:rPr>
                <w:rFonts w:ascii="Lucida Sans" w:hAnsi="Lucida Sans"/>
                <w:b/>
                <w:sz w:val="20"/>
                <w:szCs w:val="20"/>
              </w:rPr>
            </w:pPr>
          </w:p>
          <w:p w14:paraId="15EEB712" w14:textId="3A08A04F" w:rsidR="007441EE" w:rsidRDefault="007441EE" w:rsidP="001040CC">
            <w:pPr>
              <w:pStyle w:val="ColorfulList-Accent11"/>
              <w:ind w:left="0"/>
              <w:rPr>
                <w:rFonts w:ascii="Lucida Sans" w:hAnsi="Lucida Sans"/>
                <w:sz w:val="20"/>
                <w:szCs w:val="20"/>
              </w:rPr>
            </w:pPr>
            <w:r>
              <w:rPr>
                <w:rFonts w:ascii="Lucida Sans" w:hAnsi="Lucida Sans"/>
                <w:sz w:val="20"/>
                <w:szCs w:val="20"/>
              </w:rPr>
              <w:t>The final report will be circulated before the next meeting of the SC. MJW said he e</w:t>
            </w:r>
            <w:r w:rsidR="00320C89">
              <w:rPr>
                <w:rFonts w:ascii="Lucida Sans" w:hAnsi="Lucida Sans"/>
                <w:sz w:val="20"/>
                <w:szCs w:val="20"/>
              </w:rPr>
              <w:t>xpected</w:t>
            </w:r>
            <w:r>
              <w:rPr>
                <w:rFonts w:ascii="Lucida Sans" w:hAnsi="Lucida Sans"/>
                <w:sz w:val="20"/>
                <w:szCs w:val="20"/>
              </w:rPr>
              <w:t xml:space="preserve"> the report </w:t>
            </w:r>
            <w:r w:rsidR="00320C89">
              <w:rPr>
                <w:rFonts w:ascii="Lucida Sans" w:hAnsi="Lucida Sans"/>
                <w:sz w:val="20"/>
                <w:szCs w:val="20"/>
              </w:rPr>
              <w:t>to</w:t>
            </w:r>
            <w:r w:rsidR="008F7078">
              <w:rPr>
                <w:rFonts w:ascii="Lucida Sans" w:hAnsi="Lucida Sans"/>
                <w:sz w:val="20"/>
                <w:szCs w:val="20"/>
              </w:rPr>
              <w:t xml:space="preserve"> </w:t>
            </w:r>
            <w:r>
              <w:rPr>
                <w:rFonts w:ascii="Lucida Sans" w:hAnsi="Lucida Sans"/>
                <w:sz w:val="20"/>
                <w:szCs w:val="20"/>
              </w:rPr>
              <w:t xml:space="preserve">become the work plan for next phase of the collaboration. The report will primarily be factual and will include the results of the mapping and two surveys.  The Board should meet after the next SC meeting to review the report and discuss the next phase and direction of </w:t>
            </w:r>
            <w:r>
              <w:rPr>
                <w:rFonts w:ascii="Lucida Sans" w:hAnsi="Lucida Sans"/>
                <w:sz w:val="20"/>
                <w:szCs w:val="20"/>
              </w:rPr>
              <w:lastRenderedPageBreak/>
              <w:t xml:space="preserve">travel. </w:t>
            </w:r>
          </w:p>
          <w:p w14:paraId="01F1EB22" w14:textId="77777777" w:rsidR="007441EE" w:rsidRDefault="007441EE" w:rsidP="001040CC">
            <w:pPr>
              <w:pStyle w:val="ColorfulList-Accent11"/>
              <w:ind w:left="0"/>
              <w:rPr>
                <w:rFonts w:ascii="Lucida Sans" w:hAnsi="Lucida Sans"/>
                <w:sz w:val="20"/>
                <w:szCs w:val="20"/>
              </w:rPr>
            </w:pPr>
          </w:p>
          <w:p w14:paraId="38D636AB" w14:textId="77777777" w:rsidR="007441EE" w:rsidRDefault="007441EE" w:rsidP="001040CC">
            <w:pPr>
              <w:pStyle w:val="ColorfulList-Accent11"/>
              <w:ind w:left="0"/>
              <w:rPr>
                <w:rFonts w:ascii="Lucida Sans" w:hAnsi="Lucida Sans"/>
                <w:sz w:val="20"/>
                <w:szCs w:val="20"/>
              </w:rPr>
            </w:pPr>
            <w:r>
              <w:rPr>
                <w:rFonts w:ascii="Lucida Sans" w:hAnsi="Lucida Sans"/>
                <w:sz w:val="20"/>
                <w:szCs w:val="20"/>
              </w:rPr>
              <w:t>MH suggested that it should be an internal report at this stage.  He suggested three key questions: What are the key messages from the results? What should people do with the information presented? What is the call to action?</w:t>
            </w:r>
          </w:p>
          <w:p w14:paraId="0CFC0442" w14:textId="77777777" w:rsidR="007441EE" w:rsidRDefault="007441EE" w:rsidP="001040CC">
            <w:pPr>
              <w:pStyle w:val="ColorfulList-Accent11"/>
              <w:ind w:left="0"/>
              <w:rPr>
                <w:rFonts w:ascii="Lucida Sans" w:hAnsi="Lucida Sans"/>
                <w:sz w:val="20"/>
                <w:szCs w:val="20"/>
              </w:rPr>
            </w:pPr>
          </w:p>
          <w:p w14:paraId="3B3C230E" w14:textId="77777777" w:rsidR="007441EE" w:rsidRDefault="007441EE" w:rsidP="001040CC">
            <w:pPr>
              <w:pStyle w:val="ColorfulList-Accent11"/>
              <w:ind w:left="0"/>
              <w:rPr>
                <w:rFonts w:ascii="Lucida Sans" w:hAnsi="Lucida Sans"/>
                <w:sz w:val="20"/>
                <w:szCs w:val="20"/>
              </w:rPr>
            </w:pPr>
            <w:r>
              <w:rPr>
                <w:rFonts w:ascii="Lucida Sans" w:hAnsi="Lucida Sans"/>
                <w:sz w:val="20"/>
                <w:szCs w:val="20"/>
              </w:rPr>
              <w:t>MJW said the report should be put in the public domain after it has gone through the review with the Board. LT stressed that it is important that it be made public eventually.</w:t>
            </w:r>
          </w:p>
          <w:p w14:paraId="0D19AA14" w14:textId="77777777" w:rsidR="007441EE" w:rsidRDefault="007441EE" w:rsidP="001040CC">
            <w:pPr>
              <w:pStyle w:val="ColorfulList-Accent11"/>
              <w:ind w:left="0"/>
              <w:rPr>
                <w:rFonts w:ascii="Lucida Sans" w:hAnsi="Lucida Sans"/>
                <w:sz w:val="20"/>
                <w:szCs w:val="20"/>
              </w:rPr>
            </w:pPr>
          </w:p>
          <w:p w14:paraId="2C9E7A83" w14:textId="4B145224" w:rsidR="007441EE" w:rsidRDefault="007441EE" w:rsidP="001040CC">
            <w:pPr>
              <w:pStyle w:val="ColorfulList-Accent11"/>
              <w:ind w:left="0"/>
              <w:rPr>
                <w:rFonts w:ascii="Lucida Sans" w:hAnsi="Lucida Sans"/>
                <w:sz w:val="20"/>
                <w:szCs w:val="20"/>
              </w:rPr>
            </w:pPr>
            <w:r>
              <w:rPr>
                <w:rFonts w:ascii="Lucida Sans" w:hAnsi="Lucida Sans"/>
                <w:sz w:val="20"/>
                <w:szCs w:val="20"/>
              </w:rPr>
              <w:t>ER suggested the report be written for three audiences: the public, funders and researchers.  There should be a simplified version of the report for the public which includes recommendations and show</w:t>
            </w:r>
            <w:r w:rsidR="007A70C2">
              <w:rPr>
                <w:rFonts w:ascii="Lucida Sans" w:hAnsi="Lucida Sans"/>
                <w:sz w:val="20"/>
                <w:szCs w:val="20"/>
              </w:rPr>
              <w:t>s</w:t>
            </w:r>
            <w:r>
              <w:rPr>
                <w:rFonts w:ascii="Lucida Sans" w:hAnsi="Lucida Sans"/>
                <w:sz w:val="20"/>
                <w:szCs w:val="20"/>
              </w:rPr>
              <w:t xml:space="preserve"> clearly why the work has been done.  </w:t>
            </w:r>
          </w:p>
          <w:p w14:paraId="56CEC4BC" w14:textId="77777777" w:rsidR="007441EE" w:rsidRDefault="007441EE" w:rsidP="00684385">
            <w:pPr>
              <w:pStyle w:val="ColorfulList-Accent11"/>
              <w:tabs>
                <w:tab w:val="left" w:pos="6613"/>
              </w:tabs>
              <w:ind w:left="0"/>
              <w:rPr>
                <w:rFonts w:ascii="Lucida Sans" w:hAnsi="Lucida Sans"/>
                <w:sz w:val="20"/>
                <w:szCs w:val="20"/>
              </w:rPr>
            </w:pPr>
          </w:p>
          <w:p w14:paraId="555E55A2" w14:textId="77777777" w:rsidR="007441EE" w:rsidRPr="00414541" w:rsidRDefault="007441EE" w:rsidP="00684385">
            <w:pPr>
              <w:spacing w:after="120"/>
              <w:rPr>
                <w:sz w:val="20"/>
                <w:szCs w:val="20"/>
              </w:rPr>
            </w:pPr>
            <w:r>
              <w:rPr>
                <w:sz w:val="20"/>
                <w:szCs w:val="20"/>
              </w:rPr>
              <w:t>AAJ recognised the complex nature of the landscape; it is difficult to consider nutritional exposures, cancer sites, stage of cancer journey and levels of complexity of investigation (e.g. cell, tissue, whole body, society) at the same time.</w:t>
            </w:r>
          </w:p>
        </w:tc>
        <w:tc>
          <w:tcPr>
            <w:tcW w:w="993" w:type="dxa"/>
            <w:shd w:val="clear" w:color="auto" w:fill="auto"/>
          </w:tcPr>
          <w:p w14:paraId="1F0812ED" w14:textId="77777777" w:rsidR="007441EE" w:rsidRPr="00414541" w:rsidRDefault="007441EE" w:rsidP="00F902D4">
            <w:pPr>
              <w:jc w:val="center"/>
              <w:rPr>
                <w:sz w:val="20"/>
                <w:szCs w:val="20"/>
              </w:rPr>
            </w:pPr>
          </w:p>
          <w:p w14:paraId="13CAD73B" w14:textId="77777777" w:rsidR="007441EE" w:rsidRPr="00414541" w:rsidRDefault="007441EE" w:rsidP="00F902D4">
            <w:pPr>
              <w:jc w:val="center"/>
              <w:rPr>
                <w:sz w:val="20"/>
                <w:szCs w:val="20"/>
              </w:rPr>
            </w:pPr>
          </w:p>
          <w:p w14:paraId="67AFB0B2" w14:textId="77777777" w:rsidR="007441EE" w:rsidRPr="00414541" w:rsidRDefault="007441EE" w:rsidP="00F902D4">
            <w:pPr>
              <w:jc w:val="center"/>
              <w:rPr>
                <w:sz w:val="20"/>
                <w:szCs w:val="20"/>
              </w:rPr>
            </w:pPr>
          </w:p>
          <w:p w14:paraId="5A1A9AB1" w14:textId="77777777" w:rsidR="007441EE" w:rsidRPr="00414541" w:rsidRDefault="007441EE" w:rsidP="00F902D4">
            <w:pPr>
              <w:jc w:val="center"/>
              <w:rPr>
                <w:sz w:val="20"/>
                <w:szCs w:val="20"/>
              </w:rPr>
            </w:pPr>
          </w:p>
          <w:p w14:paraId="49AD6612" w14:textId="77777777" w:rsidR="007441EE" w:rsidRDefault="007441EE" w:rsidP="0043025B">
            <w:pPr>
              <w:rPr>
                <w:sz w:val="20"/>
                <w:szCs w:val="20"/>
              </w:rPr>
            </w:pPr>
          </w:p>
          <w:p w14:paraId="1C319E5A" w14:textId="77777777" w:rsidR="009025A3" w:rsidRDefault="009025A3" w:rsidP="0043025B">
            <w:pPr>
              <w:rPr>
                <w:sz w:val="20"/>
                <w:szCs w:val="20"/>
              </w:rPr>
            </w:pPr>
          </w:p>
          <w:p w14:paraId="3694A60F" w14:textId="77777777" w:rsidR="009025A3" w:rsidRDefault="009025A3" w:rsidP="0043025B">
            <w:pPr>
              <w:rPr>
                <w:sz w:val="20"/>
                <w:szCs w:val="20"/>
              </w:rPr>
            </w:pPr>
          </w:p>
          <w:p w14:paraId="7FB34C3C" w14:textId="77777777" w:rsidR="009025A3" w:rsidRDefault="009025A3" w:rsidP="0043025B">
            <w:pPr>
              <w:rPr>
                <w:sz w:val="20"/>
                <w:szCs w:val="20"/>
              </w:rPr>
            </w:pPr>
          </w:p>
          <w:p w14:paraId="1C80A23E" w14:textId="77777777" w:rsidR="009025A3" w:rsidRDefault="009025A3" w:rsidP="0043025B">
            <w:pPr>
              <w:rPr>
                <w:sz w:val="20"/>
                <w:szCs w:val="20"/>
              </w:rPr>
            </w:pPr>
          </w:p>
          <w:p w14:paraId="0DDCF586" w14:textId="77777777" w:rsidR="009025A3" w:rsidRDefault="009025A3" w:rsidP="0043025B">
            <w:pPr>
              <w:rPr>
                <w:sz w:val="20"/>
                <w:szCs w:val="20"/>
              </w:rPr>
            </w:pPr>
          </w:p>
          <w:p w14:paraId="70C3D6B7" w14:textId="77777777" w:rsidR="009025A3" w:rsidRDefault="009025A3" w:rsidP="0043025B">
            <w:pPr>
              <w:rPr>
                <w:sz w:val="20"/>
                <w:szCs w:val="20"/>
              </w:rPr>
            </w:pPr>
          </w:p>
          <w:p w14:paraId="24111DCC" w14:textId="77777777" w:rsidR="009025A3" w:rsidRDefault="009025A3" w:rsidP="0043025B">
            <w:pPr>
              <w:rPr>
                <w:sz w:val="20"/>
                <w:szCs w:val="20"/>
              </w:rPr>
            </w:pPr>
          </w:p>
          <w:p w14:paraId="3FB0E391" w14:textId="77777777" w:rsidR="009025A3" w:rsidRDefault="009025A3" w:rsidP="0043025B">
            <w:pPr>
              <w:rPr>
                <w:sz w:val="20"/>
                <w:szCs w:val="20"/>
              </w:rPr>
            </w:pPr>
          </w:p>
          <w:p w14:paraId="0016FDF5" w14:textId="77777777" w:rsidR="009025A3" w:rsidRDefault="009025A3" w:rsidP="0043025B">
            <w:pPr>
              <w:rPr>
                <w:sz w:val="20"/>
                <w:szCs w:val="20"/>
              </w:rPr>
            </w:pPr>
          </w:p>
          <w:p w14:paraId="0D195009" w14:textId="77777777" w:rsidR="009025A3" w:rsidRDefault="009025A3" w:rsidP="0043025B">
            <w:pPr>
              <w:rPr>
                <w:sz w:val="20"/>
                <w:szCs w:val="20"/>
              </w:rPr>
            </w:pPr>
          </w:p>
          <w:p w14:paraId="1F202D4F" w14:textId="77777777" w:rsidR="009025A3" w:rsidRDefault="009025A3" w:rsidP="0043025B">
            <w:pPr>
              <w:rPr>
                <w:sz w:val="20"/>
                <w:szCs w:val="20"/>
              </w:rPr>
            </w:pPr>
          </w:p>
          <w:p w14:paraId="3076EE22" w14:textId="77777777" w:rsidR="009025A3" w:rsidRDefault="009025A3" w:rsidP="0043025B">
            <w:pPr>
              <w:rPr>
                <w:sz w:val="20"/>
                <w:szCs w:val="20"/>
              </w:rPr>
            </w:pPr>
          </w:p>
          <w:p w14:paraId="5D9A6C16" w14:textId="77777777" w:rsidR="009025A3" w:rsidRDefault="009025A3" w:rsidP="0043025B">
            <w:pPr>
              <w:rPr>
                <w:sz w:val="20"/>
                <w:szCs w:val="20"/>
              </w:rPr>
            </w:pPr>
          </w:p>
          <w:p w14:paraId="08316AC0" w14:textId="77777777" w:rsidR="009025A3" w:rsidRDefault="009025A3" w:rsidP="0043025B">
            <w:pPr>
              <w:rPr>
                <w:sz w:val="20"/>
                <w:szCs w:val="20"/>
              </w:rPr>
            </w:pPr>
          </w:p>
          <w:p w14:paraId="6AD90AA9" w14:textId="77777777" w:rsidR="009025A3" w:rsidRDefault="009025A3" w:rsidP="0043025B">
            <w:pPr>
              <w:rPr>
                <w:sz w:val="20"/>
                <w:szCs w:val="20"/>
              </w:rPr>
            </w:pPr>
          </w:p>
          <w:p w14:paraId="237AD71A" w14:textId="77777777" w:rsidR="009025A3" w:rsidRDefault="009025A3" w:rsidP="0043025B">
            <w:pPr>
              <w:rPr>
                <w:sz w:val="20"/>
                <w:szCs w:val="20"/>
              </w:rPr>
            </w:pPr>
          </w:p>
          <w:p w14:paraId="3A9AD4E4" w14:textId="77777777" w:rsidR="009025A3" w:rsidRDefault="009025A3" w:rsidP="0043025B">
            <w:pPr>
              <w:rPr>
                <w:sz w:val="20"/>
                <w:szCs w:val="20"/>
              </w:rPr>
            </w:pPr>
          </w:p>
          <w:p w14:paraId="60E5FD80" w14:textId="77777777" w:rsidR="009025A3" w:rsidRDefault="009025A3" w:rsidP="0043025B">
            <w:pPr>
              <w:rPr>
                <w:sz w:val="20"/>
                <w:szCs w:val="20"/>
              </w:rPr>
            </w:pPr>
          </w:p>
          <w:p w14:paraId="723B0D0F" w14:textId="77777777" w:rsidR="009025A3" w:rsidRDefault="009025A3" w:rsidP="0043025B">
            <w:pPr>
              <w:rPr>
                <w:sz w:val="20"/>
                <w:szCs w:val="20"/>
              </w:rPr>
            </w:pPr>
          </w:p>
          <w:p w14:paraId="5E70F86D" w14:textId="77777777" w:rsidR="009025A3" w:rsidRDefault="009025A3" w:rsidP="0043025B">
            <w:pPr>
              <w:rPr>
                <w:sz w:val="20"/>
                <w:szCs w:val="20"/>
              </w:rPr>
            </w:pPr>
          </w:p>
          <w:p w14:paraId="2EF750BB" w14:textId="77777777" w:rsidR="009025A3" w:rsidRDefault="009025A3" w:rsidP="0043025B">
            <w:pPr>
              <w:rPr>
                <w:sz w:val="20"/>
                <w:szCs w:val="20"/>
              </w:rPr>
            </w:pPr>
          </w:p>
          <w:p w14:paraId="60E0D552" w14:textId="77777777" w:rsidR="009025A3" w:rsidRDefault="009025A3" w:rsidP="0043025B">
            <w:pPr>
              <w:rPr>
                <w:sz w:val="20"/>
                <w:szCs w:val="20"/>
              </w:rPr>
            </w:pPr>
          </w:p>
          <w:p w14:paraId="2C649E41" w14:textId="77777777" w:rsidR="009025A3" w:rsidRDefault="009025A3" w:rsidP="0043025B">
            <w:pPr>
              <w:rPr>
                <w:sz w:val="20"/>
                <w:szCs w:val="20"/>
              </w:rPr>
            </w:pPr>
          </w:p>
          <w:p w14:paraId="2B17F9EF" w14:textId="77777777" w:rsidR="009025A3" w:rsidRDefault="009025A3" w:rsidP="0043025B">
            <w:pPr>
              <w:rPr>
                <w:sz w:val="20"/>
                <w:szCs w:val="20"/>
              </w:rPr>
            </w:pPr>
          </w:p>
          <w:p w14:paraId="51DC02E4" w14:textId="77777777" w:rsidR="009025A3" w:rsidRDefault="009025A3" w:rsidP="0043025B">
            <w:pPr>
              <w:rPr>
                <w:sz w:val="20"/>
                <w:szCs w:val="20"/>
              </w:rPr>
            </w:pPr>
          </w:p>
          <w:p w14:paraId="0067C018" w14:textId="77777777" w:rsidR="009025A3" w:rsidRDefault="009025A3" w:rsidP="0043025B">
            <w:pPr>
              <w:rPr>
                <w:sz w:val="20"/>
                <w:szCs w:val="20"/>
              </w:rPr>
            </w:pPr>
          </w:p>
          <w:p w14:paraId="27411556" w14:textId="77777777" w:rsidR="009025A3" w:rsidRDefault="009025A3" w:rsidP="0043025B">
            <w:pPr>
              <w:rPr>
                <w:sz w:val="20"/>
                <w:szCs w:val="20"/>
              </w:rPr>
            </w:pPr>
          </w:p>
          <w:p w14:paraId="06DC5C10" w14:textId="77777777" w:rsidR="009025A3" w:rsidRDefault="009025A3" w:rsidP="0043025B">
            <w:pPr>
              <w:rPr>
                <w:sz w:val="20"/>
                <w:szCs w:val="20"/>
              </w:rPr>
            </w:pPr>
          </w:p>
          <w:p w14:paraId="4EC48F2E" w14:textId="77777777" w:rsidR="009025A3" w:rsidRDefault="009025A3" w:rsidP="0043025B">
            <w:pPr>
              <w:rPr>
                <w:sz w:val="20"/>
                <w:szCs w:val="20"/>
              </w:rPr>
            </w:pPr>
          </w:p>
          <w:p w14:paraId="65B5A87B" w14:textId="77777777" w:rsidR="009025A3" w:rsidRDefault="009025A3" w:rsidP="0043025B">
            <w:pPr>
              <w:rPr>
                <w:sz w:val="20"/>
                <w:szCs w:val="20"/>
              </w:rPr>
            </w:pPr>
          </w:p>
          <w:p w14:paraId="050D6F8C" w14:textId="77777777" w:rsidR="009025A3" w:rsidRDefault="009025A3" w:rsidP="0043025B">
            <w:pPr>
              <w:rPr>
                <w:sz w:val="20"/>
                <w:szCs w:val="20"/>
              </w:rPr>
            </w:pPr>
          </w:p>
          <w:p w14:paraId="6F7D00CF" w14:textId="77777777" w:rsidR="009025A3" w:rsidRDefault="009025A3" w:rsidP="0043025B">
            <w:pPr>
              <w:rPr>
                <w:sz w:val="20"/>
                <w:szCs w:val="20"/>
              </w:rPr>
            </w:pPr>
          </w:p>
          <w:p w14:paraId="2994F2D2" w14:textId="77777777" w:rsidR="009025A3" w:rsidRDefault="009025A3" w:rsidP="0043025B">
            <w:pPr>
              <w:rPr>
                <w:sz w:val="20"/>
                <w:szCs w:val="20"/>
              </w:rPr>
            </w:pPr>
          </w:p>
          <w:p w14:paraId="5234323D" w14:textId="77777777" w:rsidR="009025A3" w:rsidRDefault="009025A3" w:rsidP="0043025B">
            <w:pPr>
              <w:rPr>
                <w:sz w:val="20"/>
                <w:szCs w:val="20"/>
              </w:rPr>
            </w:pPr>
          </w:p>
          <w:p w14:paraId="377820BB" w14:textId="77777777" w:rsidR="009025A3" w:rsidRDefault="009025A3" w:rsidP="0043025B">
            <w:pPr>
              <w:rPr>
                <w:sz w:val="20"/>
                <w:szCs w:val="20"/>
              </w:rPr>
            </w:pPr>
          </w:p>
          <w:p w14:paraId="168C8638" w14:textId="77777777" w:rsidR="009025A3" w:rsidRDefault="009025A3" w:rsidP="0043025B">
            <w:pPr>
              <w:rPr>
                <w:sz w:val="20"/>
                <w:szCs w:val="20"/>
              </w:rPr>
            </w:pPr>
          </w:p>
          <w:p w14:paraId="2805D57B" w14:textId="77777777" w:rsidR="009025A3" w:rsidRDefault="009025A3" w:rsidP="0043025B">
            <w:pPr>
              <w:rPr>
                <w:sz w:val="20"/>
                <w:szCs w:val="20"/>
              </w:rPr>
            </w:pPr>
          </w:p>
          <w:p w14:paraId="02DB9FF0" w14:textId="77777777" w:rsidR="009025A3" w:rsidRDefault="009025A3" w:rsidP="0043025B">
            <w:pPr>
              <w:rPr>
                <w:sz w:val="20"/>
                <w:szCs w:val="20"/>
              </w:rPr>
            </w:pPr>
          </w:p>
          <w:p w14:paraId="3E935BE8" w14:textId="77777777" w:rsidR="009025A3" w:rsidRDefault="009025A3" w:rsidP="0043025B">
            <w:pPr>
              <w:rPr>
                <w:sz w:val="20"/>
                <w:szCs w:val="20"/>
              </w:rPr>
            </w:pPr>
          </w:p>
          <w:p w14:paraId="3639A315" w14:textId="77777777" w:rsidR="009025A3" w:rsidRDefault="009025A3" w:rsidP="0043025B">
            <w:pPr>
              <w:rPr>
                <w:sz w:val="20"/>
                <w:szCs w:val="20"/>
              </w:rPr>
            </w:pPr>
          </w:p>
          <w:p w14:paraId="79BD2D8D" w14:textId="77777777" w:rsidR="00F73D19" w:rsidRDefault="00F73D19" w:rsidP="0043025B">
            <w:pPr>
              <w:rPr>
                <w:sz w:val="20"/>
                <w:szCs w:val="20"/>
              </w:rPr>
            </w:pPr>
          </w:p>
          <w:p w14:paraId="69897002" w14:textId="77777777" w:rsidR="00F73D19" w:rsidRDefault="00F73D19" w:rsidP="0043025B">
            <w:pPr>
              <w:rPr>
                <w:sz w:val="20"/>
                <w:szCs w:val="20"/>
              </w:rPr>
            </w:pPr>
          </w:p>
          <w:p w14:paraId="589AEB3F" w14:textId="77777777" w:rsidR="00F73D19" w:rsidRDefault="00F73D19" w:rsidP="0043025B">
            <w:pPr>
              <w:rPr>
                <w:sz w:val="20"/>
                <w:szCs w:val="20"/>
              </w:rPr>
            </w:pPr>
          </w:p>
          <w:p w14:paraId="4A3FA6A7" w14:textId="77777777" w:rsidR="00F73D19" w:rsidRDefault="00F73D19" w:rsidP="0043025B">
            <w:pPr>
              <w:rPr>
                <w:sz w:val="20"/>
                <w:szCs w:val="20"/>
              </w:rPr>
            </w:pPr>
          </w:p>
          <w:p w14:paraId="5C323844" w14:textId="77777777" w:rsidR="009025A3" w:rsidRDefault="009025A3" w:rsidP="0043025B">
            <w:pPr>
              <w:rPr>
                <w:sz w:val="20"/>
                <w:szCs w:val="20"/>
              </w:rPr>
            </w:pPr>
          </w:p>
          <w:p w14:paraId="0DA5682A" w14:textId="77777777" w:rsidR="009025A3" w:rsidRPr="009025A3" w:rsidRDefault="009025A3" w:rsidP="00443426">
            <w:pPr>
              <w:jc w:val="center"/>
              <w:rPr>
                <w:b/>
                <w:sz w:val="20"/>
                <w:szCs w:val="20"/>
              </w:rPr>
            </w:pPr>
            <w:r w:rsidRPr="009025A3">
              <w:rPr>
                <w:b/>
                <w:sz w:val="20"/>
                <w:szCs w:val="20"/>
              </w:rPr>
              <w:t>YL &amp; AKMH</w:t>
            </w:r>
          </w:p>
          <w:p w14:paraId="1D99D679" w14:textId="77777777" w:rsidR="009025A3" w:rsidRDefault="009025A3" w:rsidP="0043025B">
            <w:pPr>
              <w:rPr>
                <w:sz w:val="20"/>
                <w:szCs w:val="20"/>
              </w:rPr>
            </w:pPr>
          </w:p>
          <w:p w14:paraId="31C590D0" w14:textId="77777777" w:rsidR="009025A3" w:rsidRDefault="009025A3" w:rsidP="0043025B">
            <w:pPr>
              <w:rPr>
                <w:sz w:val="20"/>
                <w:szCs w:val="20"/>
              </w:rPr>
            </w:pPr>
          </w:p>
          <w:p w14:paraId="03513F87" w14:textId="77777777" w:rsidR="00443426" w:rsidRDefault="00443426" w:rsidP="0043025B">
            <w:pPr>
              <w:rPr>
                <w:sz w:val="20"/>
                <w:szCs w:val="20"/>
              </w:rPr>
            </w:pPr>
          </w:p>
          <w:p w14:paraId="5EFEC7DA" w14:textId="77777777" w:rsidR="00443426" w:rsidRDefault="00443426" w:rsidP="0043025B">
            <w:pPr>
              <w:rPr>
                <w:sz w:val="20"/>
                <w:szCs w:val="20"/>
              </w:rPr>
            </w:pPr>
          </w:p>
          <w:p w14:paraId="6F45DDAC" w14:textId="77777777" w:rsidR="00443426" w:rsidRDefault="00443426" w:rsidP="0043025B">
            <w:pPr>
              <w:rPr>
                <w:sz w:val="20"/>
                <w:szCs w:val="20"/>
              </w:rPr>
            </w:pPr>
          </w:p>
          <w:p w14:paraId="6655FA68" w14:textId="77777777" w:rsidR="00CF5532" w:rsidRDefault="00CF5532" w:rsidP="0043025B">
            <w:pPr>
              <w:rPr>
                <w:sz w:val="20"/>
                <w:szCs w:val="20"/>
              </w:rPr>
            </w:pPr>
          </w:p>
          <w:p w14:paraId="690BDBB9" w14:textId="77777777" w:rsidR="00F73D19" w:rsidRDefault="00F73D19" w:rsidP="0043025B">
            <w:pPr>
              <w:rPr>
                <w:sz w:val="20"/>
                <w:szCs w:val="20"/>
              </w:rPr>
            </w:pPr>
            <w:bookmarkStart w:id="0" w:name="_GoBack"/>
            <w:bookmarkEnd w:id="0"/>
          </w:p>
          <w:p w14:paraId="06F931A3" w14:textId="77777777" w:rsidR="00F73D19" w:rsidRDefault="00F73D19" w:rsidP="0043025B">
            <w:pPr>
              <w:rPr>
                <w:sz w:val="20"/>
                <w:szCs w:val="20"/>
              </w:rPr>
            </w:pPr>
          </w:p>
          <w:p w14:paraId="05CA7A59" w14:textId="77777777" w:rsidR="00443426" w:rsidRPr="00443426" w:rsidRDefault="00443426" w:rsidP="00443426">
            <w:pPr>
              <w:jc w:val="center"/>
              <w:rPr>
                <w:b/>
                <w:sz w:val="20"/>
                <w:szCs w:val="20"/>
              </w:rPr>
            </w:pPr>
            <w:r w:rsidRPr="00443426">
              <w:rPr>
                <w:b/>
                <w:sz w:val="20"/>
                <w:szCs w:val="20"/>
              </w:rPr>
              <w:t>ALL</w:t>
            </w:r>
          </w:p>
        </w:tc>
      </w:tr>
      <w:tr w:rsidR="005204F5" w:rsidRPr="00414541" w14:paraId="64EEB4F6" w14:textId="77777777" w:rsidTr="00CF5532">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c>
          <w:tcPr>
            <w:tcW w:w="516" w:type="dxa"/>
            <w:shd w:val="clear" w:color="auto" w:fill="auto"/>
          </w:tcPr>
          <w:p w14:paraId="5D5C58E1" w14:textId="77777777" w:rsidR="005204F5" w:rsidRPr="00414541" w:rsidRDefault="005204F5" w:rsidP="00CC65B4">
            <w:pPr>
              <w:rPr>
                <w:b/>
                <w:sz w:val="20"/>
                <w:szCs w:val="20"/>
              </w:rPr>
            </w:pPr>
            <w:r w:rsidRPr="00414541">
              <w:rPr>
                <w:b/>
                <w:sz w:val="20"/>
                <w:szCs w:val="20"/>
              </w:rPr>
              <w:lastRenderedPageBreak/>
              <w:t>3.</w:t>
            </w:r>
          </w:p>
        </w:tc>
        <w:tc>
          <w:tcPr>
            <w:tcW w:w="7989" w:type="dxa"/>
            <w:gridSpan w:val="4"/>
            <w:shd w:val="clear" w:color="auto" w:fill="auto"/>
          </w:tcPr>
          <w:p w14:paraId="3ACAA779" w14:textId="77777777" w:rsidR="005204F5" w:rsidRPr="00414541" w:rsidRDefault="007C77C7" w:rsidP="00242B60">
            <w:pPr>
              <w:autoSpaceDE w:val="0"/>
              <w:autoSpaceDN w:val="0"/>
              <w:adjustRightInd w:val="0"/>
              <w:spacing w:after="120" w:line="240" w:lineRule="auto"/>
              <w:rPr>
                <w:b/>
                <w:sz w:val="20"/>
                <w:szCs w:val="20"/>
              </w:rPr>
            </w:pPr>
            <w:r w:rsidRPr="00414541">
              <w:rPr>
                <w:b/>
                <w:sz w:val="20"/>
                <w:szCs w:val="20"/>
              </w:rPr>
              <w:t xml:space="preserve">NCRI </w:t>
            </w:r>
          </w:p>
          <w:p w14:paraId="0B87B0D7" w14:textId="77777777" w:rsidR="00F90CB7" w:rsidRDefault="00414541" w:rsidP="00F90CB7">
            <w:pPr>
              <w:pStyle w:val="ColorfulList-Accent11"/>
              <w:numPr>
                <w:ilvl w:val="1"/>
                <w:numId w:val="17"/>
              </w:numPr>
              <w:rPr>
                <w:rFonts w:ascii="Lucida Sans" w:hAnsi="Lucida Sans"/>
                <w:sz w:val="20"/>
                <w:szCs w:val="20"/>
              </w:rPr>
            </w:pPr>
            <w:r>
              <w:rPr>
                <w:rFonts w:ascii="Lucida Sans" w:hAnsi="Lucida Sans"/>
                <w:sz w:val="20"/>
                <w:szCs w:val="20"/>
              </w:rPr>
              <w:t>2014 report</w:t>
            </w:r>
          </w:p>
          <w:p w14:paraId="6F97E073" w14:textId="77777777" w:rsidR="00414541" w:rsidRDefault="00414541" w:rsidP="00414541">
            <w:pPr>
              <w:pStyle w:val="ColorfulList-Accent11"/>
              <w:ind w:left="0"/>
              <w:rPr>
                <w:rFonts w:ascii="Lucida Sans" w:hAnsi="Lucida Sans"/>
                <w:sz w:val="20"/>
                <w:szCs w:val="20"/>
              </w:rPr>
            </w:pPr>
            <w:r>
              <w:rPr>
                <w:rFonts w:ascii="Lucida Sans" w:hAnsi="Lucida Sans"/>
                <w:sz w:val="20"/>
                <w:szCs w:val="20"/>
              </w:rPr>
              <w:t xml:space="preserve">AKMH presented a summary of the 2014 NCRI report. </w:t>
            </w:r>
          </w:p>
          <w:p w14:paraId="308A8C65" w14:textId="33FD61E4" w:rsidR="00D94C81" w:rsidRDefault="00D94C81" w:rsidP="00414541">
            <w:pPr>
              <w:pStyle w:val="ColorfulList-Accent11"/>
              <w:ind w:left="0"/>
              <w:rPr>
                <w:rFonts w:ascii="Lucida Sans" w:hAnsi="Lucida Sans"/>
                <w:sz w:val="20"/>
                <w:szCs w:val="20"/>
              </w:rPr>
            </w:pPr>
            <w:r>
              <w:rPr>
                <w:rFonts w:ascii="Lucida Sans" w:hAnsi="Lucida Sans"/>
                <w:sz w:val="20"/>
                <w:szCs w:val="20"/>
              </w:rPr>
              <w:t xml:space="preserve">LT asked </w:t>
            </w:r>
            <w:r w:rsidR="000E1E2D">
              <w:rPr>
                <w:rFonts w:ascii="Lucida Sans" w:hAnsi="Lucida Sans"/>
                <w:sz w:val="20"/>
                <w:szCs w:val="20"/>
              </w:rPr>
              <w:t>for clarification of the toolkit that is being developed.  AAJ and RIC explained this was a part of some work by Southampton BRC because there is a need to measure nutritional parameters routinely in cancer care</w:t>
            </w:r>
            <w:r w:rsidR="00320C89">
              <w:rPr>
                <w:rFonts w:ascii="Lucida Sans" w:hAnsi="Lucida Sans"/>
                <w:sz w:val="20"/>
                <w:szCs w:val="20"/>
              </w:rPr>
              <w:t xml:space="preserve"> in a standardised way</w:t>
            </w:r>
            <w:r w:rsidR="000E1E2D">
              <w:rPr>
                <w:rFonts w:ascii="Lucida Sans" w:hAnsi="Lucida Sans"/>
                <w:sz w:val="20"/>
                <w:szCs w:val="20"/>
              </w:rPr>
              <w:t xml:space="preserve">. </w:t>
            </w:r>
          </w:p>
          <w:p w14:paraId="4E38D8D4" w14:textId="77777777" w:rsidR="00D94C81" w:rsidRPr="00414541" w:rsidRDefault="00D94C81" w:rsidP="00414541">
            <w:pPr>
              <w:pStyle w:val="ColorfulList-Accent11"/>
              <w:ind w:left="0"/>
              <w:rPr>
                <w:rFonts w:ascii="Lucida Sans" w:hAnsi="Lucida Sans"/>
                <w:sz w:val="20"/>
                <w:szCs w:val="20"/>
              </w:rPr>
            </w:pPr>
          </w:p>
          <w:p w14:paraId="75E32A8F" w14:textId="77777777" w:rsidR="002661A9" w:rsidRDefault="007C77C7" w:rsidP="00F90CB7">
            <w:pPr>
              <w:pStyle w:val="ColorfulList-Accent11"/>
              <w:numPr>
                <w:ilvl w:val="1"/>
                <w:numId w:val="17"/>
              </w:numPr>
              <w:rPr>
                <w:rFonts w:ascii="Lucida Sans" w:hAnsi="Lucida Sans"/>
                <w:sz w:val="20"/>
                <w:szCs w:val="20"/>
              </w:rPr>
            </w:pPr>
            <w:r w:rsidRPr="00414541">
              <w:rPr>
                <w:rFonts w:ascii="Lucida Sans" w:hAnsi="Lucida Sans"/>
                <w:sz w:val="20"/>
                <w:szCs w:val="20"/>
              </w:rPr>
              <w:t>2015 plans</w:t>
            </w:r>
          </w:p>
          <w:p w14:paraId="26E49F38" w14:textId="77777777" w:rsidR="00531CCC" w:rsidRDefault="000D1510" w:rsidP="0085562A">
            <w:pPr>
              <w:pStyle w:val="ColorfulList-Accent11"/>
              <w:ind w:left="0"/>
              <w:rPr>
                <w:rFonts w:ascii="Lucida Sans" w:hAnsi="Lucida Sans"/>
                <w:sz w:val="20"/>
                <w:szCs w:val="20"/>
              </w:rPr>
            </w:pPr>
            <w:r>
              <w:rPr>
                <w:rFonts w:ascii="Lucida Sans" w:hAnsi="Lucida Sans"/>
                <w:sz w:val="20"/>
                <w:szCs w:val="20"/>
              </w:rPr>
              <w:t>Unfortunately,</w:t>
            </w:r>
            <w:r w:rsidR="00531CCC">
              <w:rPr>
                <w:rFonts w:ascii="Lucida Sans" w:hAnsi="Lucida Sans"/>
                <w:sz w:val="20"/>
                <w:szCs w:val="20"/>
              </w:rPr>
              <w:t xml:space="preserve"> </w:t>
            </w:r>
            <w:r>
              <w:rPr>
                <w:rFonts w:ascii="Lucida Sans" w:hAnsi="Lucida Sans"/>
                <w:sz w:val="20"/>
                <w:szCs w:val="20"/>
              </w:rPr>
              <w:t xml:space="preserve">a </w:t>
            </w:r>
            <w:r w:rsidR="00531CCC">
              <w:rPr>
                <w:rFonts w:ascii="Lucida Sans" w:hAnsi="Lucida Sans"/>
                <w:sz w:val="20"/>
                <w:szCs w:val="20"/>
              </w:rPr>
              <w:t xml:space="preserve">negative response was </w:t>
            </w:r>
            <w:r>
              <w:rPr>
                <w:rFonts w:ascii="Lucida Sans" w:hAnsi="Lucida Sans"/>
                <w:sz w:val="20"/>
                <w:szCs w:val="20"/>
              </w:rPr>
              <w:t xml:space="preserve">recently </w:t>
            </w:r>
            <w:r w:rsidR="00531CCC">
              <w:rPr>
                <w:rFonts w:ascii="Lucida Sans" w:hAnsi="Lucida Sans"/>
                <w:sz w:val="20"/>
                <w:szCs w:val="20"/>
              </w:rPr>
              <w:t xml:space="preserve">received to </w:t>
            </w:r>
            <w:r>
              <w:rPr>
                <w:rFonts w:ascii="Lucida Sans" w:hAnsi="Lucida Sans"/>
                <w:sz w:val="20"/>
                <w:szCs w:val="20"/>
              </w:rPr>
              <w:t xml:space="preserve">host </w:t>
            </w:r>
            <w:r w:rsidR="00531CCC">
              <w:rPr>
                <w:rFonts w:ascii="Lucida Sans" w:hAnsi="Lucida Sans"/>
                <w:sz w:val="20"/>
                <w:szCs w:val="20"/>
              </w:rPr>
              <w:t>a symposium at the NCRI 2015 (application submitted in December 2014).</w:t>
            </w:r>
          </w:p>
          <w:p w14:paraId="2BBCF725" w14:textId="77777777" w:rsidR="00531CCC" w:rsidRDefault="00531CCC" w:rsidP="0085562A">
            <w:pPr>
              <w:pStyle w:val="ColorfulList-Accent11"/>
              <w:ind w:left="0"/>
              <w:rPr>
                <w:rFonts w:ascii="Lucida Sans" w:hAnsi="Lucida Sans"/>
                <w:sz w:val="20"/>
                <w:szCs w:val="20"/>
              </w:rPr>
            </w:pPr>
            <w:r>
              <w:rPr>
                <w:rFonts w:ascii="Lucida Sans" w:hAnsi="Lucida Sans"/>
                <w:sz w:val="20"/>
                <w:szCs w:val="20"/>
              </w:rPr>
              <w:t xml:space="preserve">  </w:t>
            </w:r>
          </w:p>
          <w:p w14:paraId="0B620B14" w14:textId="395BABA0" w:rsidR="00283E09" w:rsidRDefault="00531CCC" w:rsidP="0085562A">
            <w:pPr>
              <w:pStyle w:val="ColorfulList-Accent11"/>
              <w:ind w:left="0"/>
              <w:rPr>
                <w:rFonts w:ascii="Lucida Sans" w:hAnsi="Lucida Sans"/>
                <w:sz w:val="20"/>
                <w:szCs w:val="20"/>
              </w:rPr>
            </w:pPr>
            <w:r>
              <w:rPr>
                <w:rFonts w:ascii="Lucida Sans" w:hAnsi="Lucida Sans"/>
                <w:sz w:val="20"/>
                <w:szCs w:val="20"/>
              </w:rPr>
              <w:t>LT</w:t>
            </w:r>
            <w:r w:rsidR="0085562A">
              <w:rPr>
                <w:rFonts w:ascii="Lucida Sans" w:hAnsi="Lucida Sans"/>
                <w:sz w:val="20"/>
                <w:szCs w:val="20"/>
              </w:rPr>
              <w:t xml:space="preserve"> offered to contact </w:t>
            </w:r>
            <w:r w:rsidR="000D1510">
              <w:rPr>
                <w:rFonts w:ascii="Lucida Sans" w:hAnsi="Lucida Sans"/>
                <w:sz w:val="20"/>
                <w:szCs w:val="20"/>
              </w:rPr>
              <w:t>her</w:t>
            </w:r>
            <w:r>
              <w:rPr>
                <w:rFonts w:ascii="Lucida Sans" w:hAnsi="Lucida Sans"/>
                <w:sz w:val="20"/>
                <w:szCs w:val="20"/>
              </w:rPr>
              <w:t xml:space="preserve"> consumer contacts on the NCRI </w:t>
            </w:r>
            <w:r w:rsidR="0085562A">
              <w:rPr>
                <w:rFonts w:ascii="Lucida Sans" w:hAnsi="Lucida Sans"/>
                <w:sz w:val="20"/>
                <w:szCs w:val="20"/>
              </w:rPr>
              <w:t>panel</w:t>
            </w:r>
            <w:r>
              <w:rPr>
                <w:rFonts w:ascii="Lucida Sans" w:hAnsi="Lucida Sans"/>
                <w:sz w:val="20"/>
                <w:szCs w:val="20"/>
              </w:rPr>
              <w:t xml:space="preserve"> to highlight the importance of this session</w:t>
            </w:r>
            <w:r w:rsidR="00E95CEB">
              <w:rPr>
                <w:rFonts w:ascii="Lucida Sans" w:hAnsi="Lucida Sans"/>
                <w:sz w:val="20"/>
                <w:szCs w:val="20"/>
              </w:rPr>
              <w:t xml:space="preserve"> and see if they would change their mind</w:t>
            </w:r>
            <w:r>
              <w:rPr>
                <w:rFonts w:ascii="Lucida Sans" w:hAnsi="Lucida Sans"/>
                <w:sz w:val="20"/>
                <w:szCs w:val="20"/>
              </w:rPr>
              <w:t>; c</w:t>
            </w:r>
            <w:r w:rsidR="0085562A">
              <w:rPr>
                <w:rFonts w:ascii="Lucida Sans" w:hAnsi="Lucida Sans"/>
                <w:sz w:val="20"/>
                <w:szCs w:val="20"/>
              </w:rPr>
              <w:t xml:space="preserve">onsumers </w:t>
            </w:r>
            <w:r>
              <w:rPr>
                <w:rFonts w:ascii="Lucida Sans" w:hAnsi="Lucida Sans"/>
                <w:sz w:val="20"/>
                <w:szCs w:val="20"/>
              </w:rPr>
              <w:t xml:space="preserve">at the NCRI </w:t>
            </w:r>
            <w:r w:rsidR="0085562A">
              <w:rPr>
                <w:rFonts w:ascii="Lucida Sans" w:hAnsi="Lucida Sans"/>
                <w:sz w:val="20"/>
                <w:szCs w:val="20"/>
              </w:rPr>
              <w:t>say there is too much biological scie</w:t>
            </w:r>
            <w:r w:rsidR="000D1510">
              <w:rPr>
                <w:rFonts w:ascii="Lucida Sans" w:hAnsi="Lucida Sans"/>
                <w:sz w:val="20"/>
                <w:szCs w:val="20"/>
              </w:rPr>
              <w:t>nce and they want more consumer-</w:t>
            </w:r>
            <w:r w:rsidR="0085562A">
              <w:rPr>
                <w:rFonts w:ascii="Lucida Sans" w:hAnsi="Lucida Sans"/>
                <w:sz w:val="20"/>
                <w:szCs w:val="20"/>
              </w:rPr>
              <w:t>focused</w:t>
            </w:r>
            <w:r>
              <w:rPr>
                <w:rFonts w:ascii="Lucida Sans" w:hAnsi="Lucida Sans"/>
                <w:sz w:val="20"/>
                <w:szCs w:val="20"/>
              </w:rPr>
              <w:t xml:space="preserve"> work</w:t>
            </w:r>
            <w:r w:rsidR="000D1510">
              <w:rPr>
                <w:rFonts w:ascii="Lucida Sans" w:hAnsi="Lucida Sans"/>
                <w:sz w:val="20"/>
                <w:szCs w:val="20"/>
              </w:rPr>
              <w:t xml:space="preserve"> </w:t>
            </w:r>
            <w:r w:rsidR="00E95CEB">
              <w:rPr>
                <w:rFonts w:ascii="Lucida Sans" w:hAnsi="Lucida Sans"/>
                <w:sz w:val="20"/>
                <w:szCs w:val="20"/>
              </w:rPr>
              <w:t xml:space="preserve">The symposium </w:t>
            </w:r>
            <w:r>
              <w:rPr>
                <w:rFonts w:ascii="Lucida Sans" w:hAnsi="Lucida Sans"/>
                <w:sz w:val="20"/>
                <w:szCs w:val="20"/>
              </w:rPr>
              <w:t xml:space="preserve">would </w:t>
            </w:r>
            <w:r w:rsidR="00E95CEB">
              <w:rPr>
                <w:rFonts w:ascii="Lucida Sans" w:hAnsi="Lucida Sans"/>
                <w:sz w:val="20"/>
                <w:szCs w:val="20"/>
              </w:rPr>
              <w:t xml:space="preserve">help </w:t>
            </w:r>
            <w:r>
              <w:rPr>
                <w:rFonts w:ascii="Lucida Sans" w:hAnsi="Lucida Sans"/>
                <w:sz w:val="20"/>
                <w:szCs w:val="20"/>
              </w:rPr>
              <w:t xml:space="preserve">fill this need. </w:t>
            </w:r>
            <w:r w:rsidR="0085562A">
              <w:rPr>
                <w:rFonts w:ascii="Lucida Sans" w:hAnsi="Lucida Sans"/>
                <w:sz w:val="20"/>
                <w:szCs w:val="20"/>
              </w:rPr>
              <w:t xml:space="preserve"> </w:t>
            </w:r>
          </w:p>
          <w:p w14:paraId="4B4FC06D" w14:textId="77777777" w:rsidR="007D33D0" w:rsidRDefault="007D33D0" w:rsidP="00883084">
            <w:pPr>
              <w:pStyle w:val="ColorfulList-Accent11"/>
              <w:ind w:left="0"/>
              <w:rPr>
                <w:rFonts w:ascii="Lucida Sans" w:hAnsi="Lucida Sans"/>
                <w:sz w:val="20"/>
                <w:szCs w:val="20"/>
              </w:rPr>
            </w:pPr>
          </w:p>
          <w:p w14:paraId="4D95FE59" w14:textId="77777777" w:rsidR="002735AF" w:rsidRDefault="00883084" w:rsidP="00883084">
            <w:pPr>
              <w:pStyle w:val="ColorfulList-Accent11"/>
              <w:ind w:left="0"/>
              <w:rPr>
                <w:rFonts w:ascii="Lucida Sans" w:hAnsi="Lucida Sans"/>
                <w:sz w:val="20"/>
                <w:szCs w:val="20"/>
              </w:rPr>
            </w:pPr>
            <w:r>
              <w:rPr>
                <w:rFonts w:ascii="Lucida Sans" w:hAnsi="Lucida Sans"/>
                <w:sz w:val="20"/>
                <w:szCs w:val="20"/>
              </w:rPr>
              <w:t>LT suggested</w:t>
            </w:r>
            <w:r w:rsidR="00531CCC">
              <w:rPr>
                <w:rFonts w:ascii="Lucida Sans" w:hAnsi="Lucida Sans"/>
                <w:sz w:val="20"/>
                <w:szCs w:val="20"/>
              </w:rPr>
              <w:t xml:space="preserve"> giving a presentation to</w:t>
            </w:r>
            <w:r>
              <w:rPr>
                <w:rFonts w:ascii="Lucida Sans" w:hAnsi="Lucida Sans"/>
                <w:sz w:val="20"/>
                <w:szCs w:val="20"/>
              </w:rPr>
              <w:t xml:space="preserve"> the Supportive and Pall</w:t>
            </w:r>
            <w:r w:rsidR="000830E6">
              <w:rPr>
                <w:rFonts w:ascii="Lucida Sans" w:hAnsi="Lucida Sans"/>
                <w:sz w:val="20"/>
                <w:szCs w:val="20"/>
              </w:rPr>
              <w:t>i</w:t>
            </w:r>
            <w:r>
              <w:rPr>
                <w:rFonts w:ascii="Lucida Sans" w:hAnsi="Lucida Sans"/>
                <w:sz w:val="20"/>
                <w:szCs w:val="20"/>
              </w:rPr>
              <w:t>ative Care</w:t>
            </w:r>
            <w:r w:rsidR="002735AF">
              <w:rPr>
                <w:rFonts w:ascii="Lucida Sans" w:hAnsi="Lucida Sans"/>
                <w:sz w:val="20"/>
                <w:szCs w:val="20"/>
              </w:rPr>
              <w:t xml:space="preserve"> group who would be very interested to hear about this work. It is</w:t>
            </w:r>
            <w:r>
              <w:rPr>
                <w:rFonts w:ascii="Lucida Sans" w:hAnsi="Lucida Sans"/>
                <w:sz w:val="20"/>
                <w:szCs w:val="20"/>
              </w:rPr>
              <w:t xml:space="preserve"> small </w:t>
            </w:r>
            <w:r w:rsidR="002735AF">
              <w:rPr>
                <w:rFonts w:ascii="Lucida Sans" w:hAnsi="Lucida Sans"/>
                <w:sz w:val="20"/>
                <w:szCs w:val="20"/>
              </w:rPr>
              <w:t>group (</w:t>
            </w:r>
            <w:r>
              <w:rPr>
                <w:rFonts w:ascii="Lucida Sans" w:hAnsi="Lucida Sans"/>
                <w:sz w:val="20"/>
                <w:szCs w:val="20"/>
              </w:rPr>
              <w:t>25 people</w:t>
            </w:r>
            <w:r w:rsidR="002735AF">
              <w:rPr>
                <w:rFonts w:ascii="Lucida Sans" w:hAnsi="Lucida Sans"/>
                <w:sz w:val="20"/>
                <w:szCs w:val="20"/>
              </w:rPr>
              <w:t>) but many of them may be able to help raise awareness</w:t>
            </w:r>
            <w:r w:rsidR="00531CCC">
              <w:rPr>
                <w:rFonts w:ascii="Lucida Sans" w:hAnsi="Lucida Sans"/>
                <w:sz w:val="20"/>
                <w:szCs w:val="20"/>
              </w:rPr>
              <w:t xml:space="preserve"> of the </w:t>
            </w:r>
            <w:r w:rsidR="000830E6">
              <w:rPr>
                <w:rFonts w:ascii="Lucida Sans" w:hAnsi="Lucida Sans"/>
                <w:sz w:val="20"/>
                <w:szCs w:val="20"/>
              </w:rPr>
              <w:t>initiative</w:t>
            </w:r>
            <w:r w:rsidR="00531CCC">
              <w:rPr>
                <w:rFonts w:ascii="Lucida Sans" w:hAnsi="Lucida Sans"/>
                <w:sz w:val="20"/>
                <w:szCs w:val="20"/>
              </w:rPr>
              <w:t>.</w:t>
            </w:r>
            <w:r>
              <w:rPr>
                <w:rFonts w:ascii="Lucida Sans" w:hAnsi="Lucida Sans"/>
                <w:sz w:val="20"/>
                <w:szCs w:val="20"/>
              </w:rPr>
              <w:t xml:space="preserve"> </w:t>
            </w:r>
            <w:r w:rsidR="000830E6">
              <w:rPr>
                <w:rFonts w:ascii="Lucida Sans" w:hAnsi="Lucida Sans"/>
                <w:sz w:val="20"/>
                <w:szCs w:val="20"/>
              </w:rPr>
              <w:t xml:space="preserve">The next meeting is on 25th March. </w:t>
            </w:r>
            <w:r w:rsidR="002735AF">
              <w:rPr>
                <w:rFonts w:ascii="Lucida Sans" w:hAnsi="Lucida Sans"/>
                <w:sz w:val="20"/>
                <w:szCs w:val="20"/>
              </w:rPr>
              <w:t xml:space="preserve">LT to ask </w:t>
            </w:r>
            <w:r w:rsidR="00531CCC">
              <w:rPr>
                <w:rFonts w:ascii="Lucida Sans" w:hAnsi="Lucida Sans"/>
                <w:sz w:val="20"/>
                <w:szCs w:val="20"/>
              </w:rPr>
              <w:t xml:space="preserve">the head of </w:t>
            </w:r>
            <w:r w:rsidR="002735AF">
              <w:rPr>
                <w:rFonts w:ascii="Lucida Sans" w:hAnsi="Lucida Sans"/>
                <w:sz w:val="20"/>
                <w:szCs w:val="20"/>
              </w:rPr>
              <w:t xml:space="preserve">CSG about talking at </w:t>
            </w:r>
            <w:r w:rsidR="00531CCC">
              <w:rPr>
                <w:rFonts w:ascii="Lucida Sans" w:hAnsi="Lucida Sans"/>
                <w:sz w:val="20"/>
                <w:szCs w:val="20"/>
              </w:rPr>
              <w:t xml:space="preserve">the March </w:t>
            </w:r>
            <w:r w:rsidR="002735AF">
              <w:rPr>
                <w:rFonts w:ascii="Lucida Sans" w:hAnsi="Lucida Sans"/>
                <w:sz w:val="20"/>
                <w:szCs w:val="20"/>
              </w:rPr>
              <w:t xml:space="preserve">meeting </w:t>
            </w:r>
            <w:r w:rsidR="00531CCC">
              <w:rPr>
                <w:rFonts w:ascii="Lucida Sans" w:hAnsi="Lucida Sans"/>
                <w:sz w:val="20"/>
                <w:szCs w:val="20"/>
              </w:rPr>
              <w:t xml:space="preserve">or the following one. </w:t>
            </w:r>
          </w:p>
          <w:p w14:paraId="0E4B73A0" w14:textId="77777777" w:rsidR="002735AF" w:rsidRDefault="002735AF" w:rsidP="00883084">
            <w:pPr>
              <w:pStyle w:val="ColorfulList-Accent11"/>
              <w:ind w:left="0"/>
              <w:rPr>
                <w:rFonts w:ascii="Lucida Sans" w:hAnsi="Lucida Sans"/>
                <w:sz w:val="20"/>
                <w:szCs w:val="20"/>
              </w:rPr>
            </w:pPr>
          </w:p>
          <w:p w14:paraId="7F9F8C0D" w14:textId="77777777" w:rsidR="000830E6" w:rsidRDefault="002B2AD9" w:rsidP="000830E6">
            <w:pPr>
              <w:pStyle w:val="ColorfulList-Accent11"/>
              <w:ind w:left="0"/>
              <w:rPr>
                <w:rFonts w:ascii="Lucida Sans" w:hAnsi="Lucida Sans"/>
                <w:sz w:val="20"/>
                <w:szCs w:val="20"/>
              </w:rPr>
            </w:pPr>
            <w:r>
              <w:rPr>
                <w:rFonts w:ascii="Lucida Sans" w:hAnsi="Lucida Sans"/>
                <w:sz w:val="20"/>
                <w:szCs w:val="20"/>
              </w:rPr>
              <w:t xml:space="preserve">KB stressed that we </w:t>
            </w:r>
            <w:r w:rsidR="002735AF">
              <w:rPr>
                <w:rFonts w:ascii="Lucida Sans" w:hAnsi="Lucida Sans"/>
                <w:sz w:val="20"/>
                <w:szCs w:val="20"/>
              </w:rPr>
              <w:t xml:space="preserve">need </w:t>
            </w:r>
            <w:r>
              <w:rPr>
                <w:rFonts w:ascii="Lucida Sans" w:hAnsi="Lucida Sans"/>
                <w:sz w:val="20"/>
                <w:szCs w:val="20"/>
              </w:rPr>
              <w:t xml:space="preserve">to educate people about why this work is </w:t>
            </w:r>
            <w:r w:rsidR="002735AF">
              <w:rPr>
                <w:rFonts w:ascii="Lucida Sans" w:hAnsi="Lucida Sans"/>
                <w:sz w:val="20"/>
                <w:szCs w:val="20"/>
              </w:rPr>
              <w:t>important</w:t>
            </w:r>
            <w:r>
              <w:rPr>
                <w:rFonts w:ascii="Lucida Sans" w:hAnsi="Lucida Sans"/>
                <w:sz w:val="20"/>
                <w:szCs w:val="20"/>
              </w:rPr>
              <w:t xml:space="preserve"> and to raise</w:t>
            </w:r>
            <w:r w:rsidR="002735AF">
              <w:rPr>
                <w:rFonts w:ascii="Lucida Sans" w:hAnsi="Lucida Sans"/>
                <w:sz w:val="20"/>
                <w:szCs w:val="20"/>
              </w:rPr>
              <w:t xml:space="preserve"> awareness</w:t>
            </w:r>
            <w:r>
              <w:rPr>
                <w:rFonts w:ascii="Lucida Sans" w:hAnsi="Lucida Sans"/>
                <w:sz w:val="20"/>
                <w:szCs w:val="20"/>
              </w:rPr>
              <w:t xml:space="preserve"> of the initiative. </w:t>
            </w:r>
            <w:r w:rsidR="000830E6">
              <w:rPr>
                <w:rFonts w:ascii="Lucida Sans" w:hAnsi="Lucida Sans"/>
                <w:sz w:val="20"/>
                <w:szCs w:val="20"/>
              </w:rPr>
              <w:t xml:space="preserve">KB suggested applying to the BACR (British Association for Cancer Research) for funding to host a meeting. </w:t>
            </w:r>
          </w:p>
          <w:p w14:paraId="26CCC124" w14:textId="77777777" w:rsidR="002B2AD9" w:rsidRDefault="002B2AD9" w:rsidP="002735AF">
            <w:pPr>
              <w:pStyle w:val="ColorfulList-Accent11"/>
              <w:ind w:left="0"/>
              <w:rPr>
                <w:rFonts w:ascii="Lucida Sans" w:hAnsi="Lucida Sans"/>
                <w:sz w:val="20"/>
                <w:szCs w:val="20"/>
              </w:rPr>
            </w:pPr>
          </w:p>
          <w:p w14:paraId="181A43A5" w14:textId="31643104" w:rsidR="007D33D0" w:rsidRDefault="002B2AD9" w:rsidP="002735AF">
            <w:pPr>
              <w:pStyle w:val="ColorfulList-Accent11"/>
              <w:ind w:left="0"/>
              <w:rPr>
                <w:rFonts w:ascii="Lucida Sans" w:hAnsi="Lucida Sans"/>
                <w:sz w:val="20"/>
                <w:szCs w:val="20"/>
              </w:rPr>
            </w:pPr>
            <w:r>
              <w:rPr>
                <w:rFonts w:ascii="Lucida Sans" w:hAnsi="Lucida Sans"/>
                <w:sz w:val="20"/>
                <w:szCs w:val="20"/>
              </w:rPr>
              <w:t>ER is organising a day</w:t>
            </w:r>
            <w:r w:rsidR="00317E08">
              <w:rPr>
                <w:rFonts w:ascii="Lucida Sans" w:hAnsi="Lucida Sans"/>
                <w:sz w:val="20"/>
                <w:szCs w:val="20"/>
              </w:rPr>
              <w:t xml:space="preserve"> </w:t>
            </w:r>
            <w:r>
              <w:rPr>
                <w:rFonts w:ascii="Lucida Sans" w:hAnsi="Lucida Sans"/>
                <w:sz w:val="20"/>
                <w:szCs w:val="20"/>
              </w:rPr>
              <w:t xml:space="preserve">long meeting at Imperial College London about cancer epidemiology </w:t>
            </w:r>
            <w:r w:rsidR="000830E6">
              <w:rPr>
                <w:rFonts w:ascii="Lucida Sans" w:hAnsi="Lucida Sans"/>
                <w:sz w:val="20"/>
                <w:szCs w:val="20"/>
              </w:rPr>
              <w:t xml:space="preserve">(potentially September or October 2015) </w:t>
            </w:r>
            <w:r>
              <w:rPr>
                <w:rFonts w:ascii="Lucida Sans" w:hAnsi="Lucida Sans"/>
                <w:sz w:val="20"/>
                <w:szCs w:val="20"/>
              </w:rPr>
              <w:t xml:space="preserve">and suggested </w:t>
            </w:r>
            <w:r>
              <w:rPr>
                <w:rFonts w:ascii="Lucida Sans" w:hAnsi="Lucida Sans"/>
                <w:sz w:val="20"/>
                <w:szCs w:val="20"/>
              </w:rPr>
              <w:lastRenderedPageBreak/>
              <w:t xml:space="preserve">including a session to raise awareness of the initiative; the meeting follows on from a similar meeting in Oxford which was attended by 60-70 epidemiologists. </w:t>
            </w:r>
            <w:r w:rsidR="000830E6">
              <w:rPr>
                <w:rFonts w:ascii="Lucida Sans" w:hAnsi="Lucida Sans"/>
                <w:sz w:val="20"/>
                <w:szCs w:val="20"/>
              </w:rPr>
              <w:t xml:space="preserve">AKMH will follow up with ER to pursue this option. </w:t>
            </w:r>
          </w:p>
          <w:p w14:paraId="42A1C1F2" w14:textId="77777777" w:rsidR="007D33D0" w:rsidRPr="00414541" w:rsidRDefault="007D33D0" w:rsidP="00364998">
            <w:pPr>
              <w:pStyle w:val="ColorfulList-Accent11"/>
              <w:ind w:left="0"/>
              <w:rPr>
                <w:rFonts w:ascii="Lucida Sans" w:hAnsi="Lucida Sans"/>
                <w:sz w:val="20"/>
                <w:szCs w:val="20"/>
              </w:rPr>
            </w:pPr>
          </w:p>
        </w:tc>
        <w:tc>
          <w:tcPr>
            <w:tcW w:w="993" w:type="dxa"/>
            <w:shd w:val="clear" w:color="auto" w:fill="auto"/>
          </w:tcPr>
          <w:p w14:paraId="529A32CF" w14:textId="77777777" w:rsidR="005204F5" w:rsidRPr="00414541" w:rsidRDefault="005204F5" w:rsidP="005833D1">
            <w:pPr>
              <w:rPr>
                <w:b/>
                <w:sz w:val="20"/>
                <w:szCs w:val="20"/>
              </w:rPr>
            </w:pPr>
          </w:p>
          <w:p w14:paraId="009C1D7F" w14:textId="77777777" w:rsidR="00531217" w:rsidRPr="00414541" w:rsidRDefault="00531217" w:rsidP="005833D1">
            <w:pPr>
              <w:rPr>
                <w:b/>
                <w:sz w:val="20"/>
                <w:szCs w:val="20"/>
              </w:rPr>
            </w:pPr>
          </w:p>
          <w:p w14:paraId="00245301" w14:textId="77777777" w:rsidR="00531217" w:rsidRDefault="00531217" w:rsidP="00BB0F70">
            <w:pPr>
              <w:jc w:val="center"/>
              <w:rPr>
                <w:b/>
                <w:sz w:val="20"/>
                <w:szCs w:val="20"/>
              </w:rPr>
            </w:pPr>
          </w:p>
          <w:p w14:paraId="0C90F3E2" w14:textId="77777777" w:rsidR="00531CCC" w:rsidRDefault="00531CCC" w:rsidP="00BB0F70">
            <w:pPr>
              <w:jc w:val="center"/>
              <w:rPr>
                <w:b/>
                <w:sz w:val="20"/>
                <w:szCs w:val="20"/>
              </w:rPr>
            </w:pPr>
          </w:p>
          <w:p w14:paraId="2FE8CBA7" w14:textId="77777777" w:rsidR="00531CCC" w:rsidRDefault="00531CCC" w:rsidP="00BB0F70">
            <w:pPr>
              <w:jc w:val="center"/>
              <w:rPr>
                <w:b/>
                <w:sz w:val="20"/>
                <w:szCs w:val="20"/>
              </w:rPr>
            </w:pPr>
          </w:p>
          <w:p w14:paraId="10D989A2" w14:textId="77777777" w:rsidR="00531CCC" w:rsidRDefault="00531CCC" w:rsidP="00BB0F70">
            <w:pPr>
              <w:jc w:val="center"/>
              <w:rPr>
                <w:b/>
                <w:sz w:val="20"/>
                <w:szCs w:val="20"/>
              </w:rPr>
            </w:pPr>
          </w:p>
          <w:p w14:paraId="0481B5AA" w14:textId="77777777" w:rsidR="00531CCC" w:rsidRDefault="00531CCC" w:rsidP="00BB0F70">
            <w:pPr>
              <w:jc w:val="center"/>
              <w:rPr>
                <w:b/>
                <w:sz w:val="20"/>
                <w:szCs w:val="20"/>
              </w:rPr>
            </w:pPr>
          </w:p>
          <w:p w14:paraId="7F22FBDE" w14:textId="77777777" w:rsidR="00531CCC" w:rsidRDefault="00531CCC" w:rsidP="00BB0F70">
            <w:pPr>
              <w:jc w:val="center"/>
              <w:rPr>
                <w:b/>
                <w:sz w:val="20"/>
                <w:szCs w:val="20"/>
              </w:rPr>
            </w:pPr>
          </w:p>
          <w:p w14:paraId="7C256DEE" w14:textId="77777777" w:rsidR="00531CCC" w:rsidRDefault="00531CCC" w:rsidP="00BB0F70">
            <w:pPr>
              <w:jc w:val="center"/>
              <w:rPr>
                <w:b/>
                <w:sz w:val="20"/>
                <w:szCs w:val="20"/>
              </w:rPr>
            </w:pPr>
          </w:p>
          <w:p w14:paraId="42F72E16" w14:textId="77777777" w:rsidR="00531CCC" w:rsidRDefault="00531CCC" w:rsidP="00BB0F70">
            <w:pPr>
              <w:jc w:val="center"/>
              <w:rPr>
                <w:b/>
                <w:sz w:val="20"/>
                <w:szCs w:val="20"/>
              </w:rPr>
            </w:pPr>
          </w:p>
          <w:p w14:paraId="1FAFC7C1" w14:textId="77777777" w:rsidR="00531CCC" w:rsidRDefault="00531CCC" w:rsidP="00BB0F70">
            <w:pPr>
              <w:jc w:val="center"/>
              <w:rPr>
                <w:b/>
                <w:sz w:val="20"/>
                <w:szCs w:val="20"/>
              </w:rPr>
            </w:pPr>
          </w:p>
          <w:p w14:paraId="358EEEB6" w14:textId="77777777" w:rsidR="00531CCC" w:rsidRDefault="00531CCC" w:rsidP="00BB0F70">
            <w:pPr>
              <w:jc w:val="center"/>
              <w:rPr>
                <w:b/>
                <w:sz w:val="20"/>
                <w:szCs w:val="20"/>
              </w:rPr>
            </w:pPr>
          </w:p>
          <w:p w14:paraId="47688D6A" w14:textId="77777777" w:rsidR="00531CCC" w:rsidRDefault="00531CCC" w:rsidP="00BB0F70">
            <w:pPr>
              <w:jc w:val="center"/>
              <w:rPr>
                <w:b/>
                <w:sz w:val="20"/>
                <w:szCs w:val="20"/>
              </w:rPr>
            </w:pPr>
          </w:p>
          <w:p w14:paraId="1105F86C" w14:textId="77777777" w:rsidR="00531CCC" w:rsidRDefault="00531CCC" w:rsidP="00BB0F70">
            <w:pPr>
              <w:jc w:val="center"/>
              <w:rPr>
                <w:b/>
                <w:sz w:val="20"/>
                <w:szCs w:val="20"/>
              </w:rPr>
            </w:pPr>
          </w:p>
          <w:p w14:paraId="2D1803B4" w14:textId="77777777" w:rsidR="00531CCC" w:rsidRDefault="00531CCC" w:rsidP="00BB0F70">
            <w:pPr>
              <w:jc w:val="center"/>
              <w:rPr>
                <w:b/>
                <w:sz w:val="20"/>
                <w:szCs w:val="20"/>
              </w:rPr>
            </w:pPr>
          </w:p>
          <w:p w14:paraId="0D52DA46" w14:textId="77777777" w:rsidR="007D33D0" w:rsidRDefault="007D33D0" w:rsidP="00CF5532">
            <w:pPr>
              <w:jc w:val="center"/>
              <w:rPr>
                <w:b/>
                <w:sz w:val="20"/>
                <w:szCs w:val="20"/>
              </w:rPr>
            </w:pPr>
          </w:p>
          <w:p w14:paraId="3E8C66A7" w14:textId="77777777" w:rsidR="000E1E2D" w:rsidRDefault="000E1E2D" w:rsidP="00CF5532">
            <w:pPr>
              <w:jc w:val="center"/>
              <w:rPr>
                <w:b/>
                <w:sz w:val="20"/>
                <w:szCs w:val="20"/>
              </w:rPr>
            </w:pPr>
          </w:p>
          <w:p w14:paraId="73EC2B8F" w14:textId="77777777" w:rsidR="007D33D0" w:rsidRDefault="007D33D0" w:rsidP="00BB0F70">
            <w:pPr>
              <w:jc w:val="center"/>
              <w:rPr>
                <w:b/>
                <w:sz w:val="20"/>
                <w:szCs w:val="20"/>
              </w:rPr>
            </w:pPr>
          </w:p>
          <w:p w14:paraId="46501445" w14:textId="77777777" w:rsidR="00531CCC" w:rsidRDefault="00531CCC" w:rsidP="00BB0F70">
            <w:pPr>
              <w:jc w:val="center"/>
              <w:rPr>
                <w:b/>
                <w:sz w:val="20"/>
                <w:szCs w:val="20"/>
              </w:rPr>
            </w:pPr>
            <w:r>
              <w:rPr>
                <w:b/>
                <w:sz w:val="20"/>
                <w:szCs w:val="20"/>
              </w:rPr>
              <w:t>LT</w:t>
            </w:r>
          </w:p>
          <w:p w14:paraId="092676B5" w14:textId="77777777" w:rsidR="000830E6" w:rsidRDefault="000830E6" w:rsidP="00BB0F70">
            <w:pPr>
              <w:jc w:val="center"/>
              <w:rPr>
                <w:b/>
                <w:sz w:val="20"/>
                <w:szCs w:val="20"/>
              </w:rPr>
            </w:pPr>
          </w:p>
          <w:p w14:paraId="23A4B6DA" w14:textId="77777777" w:rsidR="000830E6" w:rsidRDefault="000830E6" w:rsidP="00BB0F70">
            <w:pPr>
              <w:jc w:val="center"/>
              <w:rPr>
                <w:b/>
                <w:sz w:val="20"/>
                <w:szCs w:val="20"/>
              </w:rPr>
            </w:pPr>
          </w:p>
          <w:p w14:paraId="01078C69" w14:textId="77777777" w:rsidR="000830E6" w:rsidRDefault="000830E6" w:rsidP="00BB0F70">
            <w:pPr>
              <w:jc w:val="center"/>
              <w:rPr>
                <w:b/>
                <w:sz w:val="20"/>
                <w:szCs w:val="20"/>
              </w:rPr>
            </w:pPr>
          </w:p>
          <w:p w14:paraId="19A24900" w14:textId="77777777" w:rsidR="000830E6" w:rsidRDefault="000830E6" w:rsidP="00BB0F70">
            <w:pPr>
              <w:jc w:val="center"/>
              <w:rPr>
                <w:b/>
                <w:sz w:val="20"/>
                <w:szCs w:val="20"/>
              </w:rPr>
            </w:pPr>
          </w:p>
          <w:p w14:paraId="01D748F7" w14:textId="77777777" w:rsidR="000830E6" w:rsidRDefault="000830E6" w:rsidP="00BB0F70">
            <w:pPr>
              <w:jc w:val="center"/>
              <w:rPr>
                <w:b/>
                <w:sz w:val="20"/>
                <w:szCs w:val="20"/>
              </w:rPr>
            </w:pPr>
          </w:p>
          <w:p w14:paraId="0CD3F271" w14:textId="77777777" w:rsidR="008F7078" w:rsidRDefault="008F7078" w:rsidP="00BB0F70">
            <w:pPr>
              <w:jc w:val="center"/>
              <w:rPr>
                <w:b/>
                <w:sz w:val="20"/>
                <w:szCs w:val="20"/>
              </w:rPr>
            </w:pPr>
          </w:p>
          <w:p w14:paraId="77C432C2" w14:textId="77777777" w:rsidR="000830E6" w:rsidRDefault="000830E6" w:rsidP="00BB0F70">
            <w:pPr>
              <w:jc w:val="center"/>
              <w:rPr>
                <w:b/>
                <w:sz w:val="20"/>
                <w:szCs w:val="20"/>
              </w:rPr>
            </w:pPr>
          </w:p>
          <w:p w14:paraId="3CDC27C6" w14:textId="77777777" w:rsidR="000830E6" w:rsidRPr="00414541" w:rsidRDefault="000830E6" w:rsidP="00BB0F70">
            <w:pPr>
              <w:jc w:val="center"/>
              <w:rPr>
                <w:b/>
                <w:sz w:val="20"/>
                <w:szCs w:val="20"/>
              </w:rPr>
            </w:pPr>
            <w:r>
              <w:rPr>
                <w:b/>
                <w:sz w:val="20"/>
                <w:szCs w:val="20"/>
              </w:rPr>
              <w:t>ER &amp; AKMH</w:t>
            </w:r>
          </w:p>
        </w:tc>
      </w:tr>
      <w:tr w:rsidR="005204F5" w:rsidRPr="00414541" w14:paraId="07E62AB2" w14:textId="77777777" w:rsidTr="00961275">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398"/>
        </w:trPr>
        <w:tc>
          <w:tcPr>
            <w:tcW w:w="516" w:type="dxa"/>
            <w:shd w:val="clear" w:color="auto" w:fill="auto"/>
          </w:tcPr>
          <w:p w14:paraId="34A13FFF" w14:textId="77777777" w:rsidR="005204F5" w:rsidRPr="00414541" w:rsidRDefault="005204F5" w:rsidP="00CC65B4">
            <w:pPr>
              <w:rPr>
                <w:b/>
                <w:sz w:val="20"/>
                <w:szCs w:val="20"/>
              </w:rPr>
            </w:pPr>
            <w:r w:rsidRPr="00414541">
              <w:rPr>
                <w:b/>
                <w:sz w:val="20"/>
                <w:szCs w:val="20"/>
              </w:rPr>
              <w:lastRenderedPageBreak/>
              <w:t>4.</w:t>
            </w:r>
          </w:p>
        </w:tc>
        <w:tc>
          <w:tcPr>
            <w:tcW w:w="7989" w:type="dxa"/>
            <w:gridSpan w:val="4"/>
            <w:shd w:val="clear" w:color="auto" w:fill="auto"/>
          </w:tcPr>
          <w:p w14:paraId="2920F26E" w14:textId="77777777" w:rsidR="005204F5" w:rsidRPr="00414541" w:rsidRDefault="007C77C7" w:rsidP="00B66629">
            <w:pPr>
              <w:spacing w:after="120" w:line="240" w:lineRule="auto"/>
              <w:rPr>
                <w:b/>
                <w:bCs/>
                <w:sz w:val="20"/>
                <w:szCs w:val="20"/>
              </w:rPr>
            </w:pPr>
            <w:r w:rsidRPr="00414541">
              <w:rPr>
                <w:b/>
                <w:bCs/>
                <w:sz w:val="20"/>
                <w:szCs w:val="20"/>
              </w:rPr>
              <w:t xml:space="preserve">Stakeholder engagement </w:t>
            </w:r>
          </w:p>
          <w:p w14:paraId="700122CD" w14:textId="77777777" w:rsidR="007C77C7" w:rsidRDefault="00F575D9" w:rsidP="007C77C7">
            <w:pPr>
              <w:pStyle w:val="ColorfulList-Accent11"/>
              <w:numPr>
                <w:ilvl w:val="1"/>
                <w:numId w:val="19"/>
              </w:numPr>
              <w:rPr>
                <w:rFonts w:ascii="Lucida Sans" w:hAnsi="Lucida Sans"/>
                <w:sz w:val="20"/>
                <w:szCs w:val="20"/>
              </w:rPr>
            </w:pPr>
            <w:r w:rsidRPr="00414541">
              <w:rPr>
                <w:rFonts w:ascii="Lucida Sans" w:hAnsi="Lucida Sans"/>
                <w:bCs/>
                <w:sz w:val="20"/>
                <w:szCs w:val="20"/>
              </w:rPr>
              <w:t xml:space="preserve"> </w:t>
            </w:r>
            <w:r w:rsidR="007C77C7" w:rsidRPr="00414541">
              <w:rPr>
                <w:rFonts w:ascii="Lucida Sans" w:hAnsi="Lucida Sans"/>
                <w:sz w:val="20"/>
                <w:szCs w:val="20"/>
              </w:rPr>
              <w:t xml:space="preserve">Industry </w:t>
            </w:r>
          </w:p>
          <w:p w14:paraId="76A0FF31" w14:textId="77777777" w:rsidR="00377418" w:rsidRDefault="00377418" w:rsidP="00377418">
            <w:pPr>
              <w:pStyle w:val="ColorfulList-Accent11"/>
              <w:ind w:left="0"/>
              <w:rPr>
                <w:rFonts w:ascii="Lucida Sans" w:hAnsi="Lucida Sans"/>
                <w:sz w:val="20"/>
                <w:szCs w:val="20"/>
              </w:rPr>
            </w:pPr>
          </w:p>
          <w:p w14:paraId="196AEA39" w14:textId="77777777" w:rsidR="0013655B" w:rsidRDefault="005836D0" w:rsidP="00377418">
            <w:pPr>
              <w:pStyle w:val="ColorfulList-Accent11"/>
              <w:ind w:left="0"/>
              <w:rPr>
                <w:rFonts w:ascii="Lucida Sans" w:hAnsi="Lucida Sans"/>
                <w:sz w:val="20"/>
                <w:szCs w:val="20"/>
              </w:rPr>
            </w:pPr>
            <w:r>
              <w:rPr>
                <w:rFonts w:ascii="Lucida Sans" w:hAnsi="Lucida Sans"/>
                <w:sz w:val="20"/>
                <w:szCs w:val="20"/>
              </w:rPr>
              <w:t>AAJ asked for suggestions on how to engage with industry</w:t>
            </w:r>
            <w:r w:rsidR="00B7376E">
              <w:rPr>
                <w:rFonts w:ascii="Lucida Sans" w:hAnsi="Lucida Sans"/>
                <w:sz w:val="20"/>
                <w:szCs w:val="20"/>
              </w:rPr>
              <w:t>; industry is</w:t>
            </w:r>
            <w:r w:rsidR="000209F5">
              <w:rPr>
                <w:rFonts w:ascii="Lucida Sans" w:hAnsi="Lucida Sans"/>
                <w:sz w:val="20"/>
                <w:szCs w:val="20"/>
              </w:rPr>
              <w:t xml:space="preserve"> a central part of NOCRI’s work.  LC </w:t>
            </w:r>
            <w:r w:rsidR="0013655B">
              <w:rPr>
                <w:rFonts w:ascii="Lucida Sans" w:hAnsi="Lucida Sans"/>
                <w:sz w:val="20"/>
                <w:szCs w:val="20"/>
              </w:rPr>
              <w:t xml:space="preserve">suggested </w:t>
            </w:r>
            <w:r>
              <w:rPr>
                <w:rFonts w:ascii="Lucida Sans" w:hAnsi="Lucida Sans"/>
                <w:sz w:val="20"/>
                <w:szCs w:val="20"/>
              </w:rPr>
              <w:t xml:space="preserve">the collaboration need not </w:t>
            </w:r>
            <w:r w:rsidR="0013655B">
              <w:rPr>
                <w:rFonts w:ascii="Lucida Sans" w:hAnsi="Lucida Sans"/>
                <w:sz w:val="20"/>
                <w:szCs w:val="20"/>
              </w:rPr>
              <w:t xml:space="preserve">pursue </w:t>
            </w:r>
            <w:r>
              <w:rPr>
                <w:rFonts w:ascii="Lucida Sans" w:hAnsi="Lucida Sans"/>
                <w:sz w:val="20"/>
                <w:szCs w:val="20"/>
              </w:rPr>
              <w:t xml:space="preserve">this </w:t>
            </w:r>
            <w:r w:rsidR="0013655B">
              <w:rPr>
                <w:rFonts w:ascii="Lucida Sans" w:hAnsi="Lucida Sans"/>
                <w:sz w:val="20"/>
                <w:szCs w:val="20"/>
              </w:rPr>
              <w:t>yet</w:t>
            </w:r>
            <w:r>
              <w:rPr>
                <w:rFonts w:ascii="Lucida Sans" w:hAnsi="Lucida Sans"/>
                <w:sz w:val="20"/>
                <w:szCs w:val="20"/>
              </w:rPr>
              <w:t xml:space="preserve"> until there is a clearer vision of the way forward</w:t>
            </w:r>
            <w:r w:rsidR="0013655B">
              <w:rPr>
                <w:rFonts w:ascii="Lucida Sans" w:hAnsi="Lucida Sans"/>
                <w:sz w:val="20"/>
                <w:szCs w:val="20"/>
              </w:rPr>
              <w:t xml:space="preserve">. </w:t>
            </w:r>
            <w:r>
              <w:rPr>
                <w:rFonts w:ascii="Lucida Sans" w:hAnsi="Lucida Sans"/>
                <w:sz w:val="20"/>
                <w:szCs w:val="20"/>
              </w:rPr>
              <w:t>MH said the collaboration should consider two things</w:t>
            </w:r>
            <w:r w:rsidR="000209F5">
              <w:rPr>
                <w:rFonts w:ascii="Lucida Sans" w:hAnsi="Lucida Sans"/>
                <w:sz w:val="20"/>
                <w:szCs w:val="20"/>
              </w:rPr>
              <w:t>:</w:t>
            </w:r>
            <w:r>
              <w:rPr>
                <w:rFonts w:ascii="Lucida Sans" w:hAnsi="Lucida Sans"/>
                <w:sz w:val="20"/>
                <w:szCs w:val="20"/>
              </w:rPr>
              <w:t xml:space="preserve"> </w:t>
            </w:r>
            <w:r w:rsidR="000209F5">
              <w:rPr>
                <w:rFonts w:ascii="Lucida Sans" w:hAnsi="Lucida Sans"/>
                <w:sz w:val="20"/>
                <w:szCs w:val="20"/>
              </w:rPr>
              <w:t xml:space="preserve">1) </w:t>
            </w:r>
            <w:r>
              <w:rPr>
                <w:rFonts w:ascii="Lucida Sans" w:hAnsi="Lucida Sans"/>
                <w:sz w:val="20"/>
                <w:szCs w:val="20"/>
              </w:rPr>
              <w:t xml:space="preserve">what is the offer to industry? </w:t>
            </w:r>
            <w:r w:rsidR="000209F5">
              <w:rPr>
                <w:rFonts w:ascii="Lucida Sans" w:hAnsi="Lucida Sans"/>
                <w:sz w:val="20"/>
                <w:szCs w:val="20"/>
              </w:rPr>
              <w:t>2)</w:t>
            </w:r>
            <w:r w:rsidR="00B7376E">
              <w:rPr>
                <w:rFonts w:ascii="Lucida Sans" w:hAnsi="Lucida Sans"/>
                <w:sz w:val="20"/>
                <w:szCs w:val="20"/>
              </w:rPr>
              <w:t xml:space="preserve"> w</w:t>
            </w:r>
            <w:r>
              <w:rPr>
                <w:rFonts w:ascii="Lucida Sans" w:hAnsi="Lucida Sans"/>
                <w:sz w:val="20"/>
                <w:szCs w:val="20"/>
              </w:rPr>
              <w:t xml:space="preserve">hat can the collaboration ‘sell’ to industry? </w:t>
            </w:r>
          </w:p>
          <w:p w14:paraId="35A84414" w14:textId="77777777" w:rsidR="0013655B" w:rsidRPr="00414541" w:rsidRDefault="0013655B" w:rsidP="00377418">
            <w:pPr>
              <w:pStyle w:val="ColorfulList-Accent11"/>
              <w:ind w:left="0"/>
              <w:rPr>
                <w:rFonts w:ascii="Lucida Sans" w:hAnsi="Lucida Sans"/>
                <w:sz w:val="20"/>
                <w:szCs w:val="20"/>
              </w:rPr>
            </w:pPr>
          </w:p>
          <w:p w14:paraId="13489606" w14:textId="77777777" w:rsidR="00222407" w:rsidRDefault="007C77C7" w:rsidP="007C77C7">
            <w:pPr>
              <w:pStyle w:val="ColorfulList-Accent11"/>
              <w:numPr>
                <w:ilvl w:val="1"/>
                <w:numId w:val="19"/>
              </w:numPr>
              <w:rPr>
                <w:rFonts w:ascii="Lucida Sans" w:hAnsi="Lucida Sans"/>
                <w:sz w:val="20"/>
                <w:szCs w:val="20"/>
              </w:rPr>
            </w:pPr>
            <w:r w:rsidRPr="00414541">
              <w:rPr>
                <w:rFonts w:ascii="Lucida Sans" w:hAnsi="Lucida Sans"/>
                <w:sz w:val="20"/>
                <w:szCs w:val="20"/>
              </w:rPr>
              <w:t>Dissemination of results</w:t>
            </w:r>
          </w:p>
          <w:p w14:paraId="62B02717" w14:textId="77777777" w:rsidR="00377418" w:rsidRDefault="00377418" w:rsidP="00377418">
            <w:pPr>
              <w:pStyle w:val="ColorfulList-Accent11"/>
              <w:ind w:left="0"/>
              <w:rPr>
                <w:rFonts w:ascii="Lucida Sans" w:hAnsi="Lucida Sans"/>
                <w:sz w:val="20"/>
                <w:szCs w:val="20"/>
              </w:rPr>
            </w:pPr>
          </w:p>
          <w:p w14:paraId="1AD87F11" w14:textId="77777777" w:rsidR="00174C42" w:rsidRDefault="0097784C" w:rsidP="00377418">
            <w:pPr>
              <w:pStyle w:val="ColorfulList-Accent11"/>
              <w:ind w:left="0"/>
              <w:rPr>
                <w:rFonts w:ascii="Lucida Sans" w:hAnsi="Lucida Sans"/>
                <w:sz w:val="20"/>
                <w:szCs w:val="20"/>
              </w:rPr>
            </w:pPr>
            <w:r>
              <w:rPr>
                <w:rFonts w:ascii="Lucida Sans" w:hAnsi="Lucida Sans"/>
                <w:sz w:val="20"/>
                <w:szCs w:val="20"/>
              </w:rPr>
              <w:t>The report needs to be directed to</w:t>
            </w:r>
            <w:r w:rsidR="00210C83">
              <w:rPr>
                <w:rFonts w:ascii="Lucida Sans" w:hAnsi="Lucida Sans"/>
                <w:sz w:val="20"/>
                <w:szCs w:val="20"/>
              </w:rPr>
              <w:t>wards</w:t>
            </w:r>
            <w:r>
              <w:rPr>
                <w:rFonts w:ascii="Lucida Sans" w:hAnsi="Lucida Sans"/>
                <w:sz w:val="20"/>
                <w:szCs w:val="20"/>
              </w:rPr>
              <w:t xml:space="preserve"> a range of </w:t>
            </w:r>
            <w:r w:rsidR="000209F5">
              <w:rPr>
                <w:rFonts w:ascii="Lucida Sans" w:hAnsi="Lucida Sans"/>
                <w:sz w:val="20"/>
                <w:szCs w:val="20"/>
              </w:rPr>
              <w:t xml:space="preserve">audiences; </w:t>
            </w:r>
            <w:r w:rsidR="002535FF">
              <w:rPr>
                <w:rFonts w:ascii="Lucida Sans" w:hAnsi="Lucida Sans"/>
                <w:sz w:val="20"/>
                <w:szCs w:val="20"/>
              </w:rPr>
              <w:t xml:space="preserve">each </w:t>
            </w:r>
            <w:r>
              <w:rPr>
                <w:rFonts w:ascii="Lucida Sans" w:hAnsi="Lucida Sans"/>
                <w:sz w:val="20"/>
                <w:szCs w:val="20"/>
              </w:rPr>
              <w:t>will require</w:t>
            </w:r>
            <w:r w:rsidR="002535FF">
              <w:rPr>
                <w:rFonts w:ascii="Lucida Sans" w:hAnsi="Lucida Sans"/>
                <w:sz w:val="20"/>
                <w:szCs w:val="20"/>
              </w:rPr>
              <w:t xml:space="preserve"> a different </w:t>
            </w:r>
            <w:r>
              <w:rPr>
                <w:rFonts w:ascii="Lucida Sans" w:hAnsi="Lucida Sans"/>
                <w:sz w:val="20"/>
                <w:szCs w:val="20"/>
              </w:rPr>
              <w:t>language and way</w:t>
            </w:r>
            <w:r w:rsidR="000209F5">
              <w:rPr>
                <w:rFonts w:ascii="Lucida Sans" w:hAnsi="Lucida Sans"/>
                <w:sz w:val="20"/>
                <w:szCs w:val="20"/>
              </w:rPr>
              <w:t xml:space="preserve"> of presenting the results (e.g. scientific journals for academic audiences).  </w:t>
            </w:r>
          </w:p>
          <w:p w14:paraId="7E8F5D41" w14:textId="77777777" w:rsidR="000209F5" w:rsidRDefault="000209F5" w:rsidP="00377418">
            <w:pPr>
              <w:pStyle w:val="ColorfulList-Accent11"/>
              <w:ind w:left="0"/>
              <w:rPr>
                <w:rFonts w:ascii="Lucida Sans" w:hAnsi="Lucida Sans"/>
                <w:sz w:val="20"/>
                <w:szCs w:val="20"/>
              </w:rPr>
            </w:pPr>
          </w:p>
          <w:p w14:paraId="5CF97BA6" w14:textId="77777777" w:rsidR="000209F5" w:rsidRDefault="000209F5" w:rsidP="000209F5">
            <w:pPr>
              <w:pStyle w:val="ColorfulList-Accent11"/>
              <w:ind w:left="0"/>
              <w:rPr>
                <w:rFonts w:ascii="Lucida Sans" w:hAnsi="Lucida Sans"/>
                <w:sz w:val="20"/>
                <w:szCs w:val="20"/>
              </w:rPr>
            </w:pPr>
            <w:r>
              <w:rPr>
                <w:rFonts w:ascii="Lucida Sans" w:hAnsi="Lucida Sans"/>
                <w:sz w:val="20"/>
                <w:szCs w:val="20"/>
              </w:rPr>
              <w:t xml:space="preserve">MH asked how the report will address which are the most important gaps and which ones should become priorities for research. We should attempt to define what the priorities are for patients, researchers and funders.  The difficulty is to understand </w:t>
            </w:r>
            <w:r w:rsidR="007B5434">
              <w:rPr>
                <w:rFonts w:ascii="Lucida Sans" w:hAnsi="Lucida Sans"/>
                <w:sz w:val="20"/>
                <w:szCs w:val="20"/>
              </w:rPr>
              <w:t>whose</w:t>
            </w:r>
            <w:r>
              <w:rPr>
                <w:rFonts w:ascii="Lucida Sans" w:hAnsi="Lucida Sans"/>
                <w:sz w:val="20"/>
                <w:szCs w:val="20"/>
              </w:rPr>
              <w:t xml:space="preserve"> priorities are most important and dedicate the appropriate resources to each area. </w:t>
            </w:r>
          </w:p>
          <w:p w14:paraId="6A098504" w14:textId="77777777" w:rsidR="000209F5" w:rsidRDefault="000209F5" w:rsidP="000209F5">
            <w:pPr>
              <w:pStyle w:val="ColorfulList-Accent11"/>
              <w:ind w:left="0"/>
              <w:rPr>
                <w:rFonts w:ascii="Lucida Sans" w:hAnsi="Lucida Sans"/>
                <w:sz w:val="20"/>
                <w:szCs w:val="20"/>
              </w:rPr>
            </w:pPr>
          </w:p>
          <w:p w14:paraId="0A40D202" w14:textId="77777777" w:rsidR="000209F5" w:rsidRDefault="000209F5" w:rsidP="000209F5">
            <w:pPr>
              <w:pStyle w:val="ColorfulList-Accent11"/>
              <w:ind w:left="0"/>
              <w:rPr>
                <w:rFonts w:ascii="Lucida Sans" w:hAnsi="Lucida Sans"/>
                <w:sz w:val="20"/>
                <w:szCs w:val="20"/>
              </w:rPr>
            </w:pPr>
            <w:r>
              <w:rPr>
                <w:rFonts w:ascii="Lucida Sans" w:hAnsi="Lucida Sans"/>
                <w:sz w:val="20"/>
                <w:szCs w:val="20"/>
              </w:rPr>
              <w:t xml:space="preserve">ER suggested encouraging researchers and funders to fill in the gaps but reminded the group that there is a risk that researchers will only apply for funds for work that has been done before because it has a higher probability of being funded. </w:t>
            </w:r>
          </w:p>
          <w:p w14:paraId="73C54B40" w14:textId="77777777" w:rsidR="000209F5" w:rsidRDefault="000209F5" w:rsidP="00377418">
            <w:pPr>
              <w:pStyle w:val="ColorfulList-Accent11"/>
              <w:ind w:left="0"/>
              <w:rPr>
                <w:rFonts w:ascii="Lucida Sans" w:hAnsi="Lucida Sans"/>
                <w:sz w:val="20"/>
                <w:szCs w:val="20"/>
              </w:rPr>
            </w:pPr>
          </w:p>
          <w:p w14:paraId="4AC465A2" w14:textId="07F4874E" w:rsidR="00574564" w:rsidRDefault="00574564" w:rsidP="00377418">
            <w:pPr>
              <w:pStyle w:val="ColorfulList-Accent11"/>
              <w:ind w:left="0"/>
              <w:rPr>
                <w:rFonts w:ascii="Lucida Sans" w:hAnsi="Lucida Sans"/>
                <w:sz w:val="20"/>
                <w:szCs w:val="20"/>
              </w:rPr>
            </w:pPr>
            <w:r>
              <w:rPr>
                <w:rFonts w:ascii="Lucida Sans" w:hAnsi="Lucida Sans"/>
                <w:sz w:val="20"/>
                <w:szCs w:val="20"/>
              </w:rPr>
              <w:t>Using the gap analysis, we can identify priority areas for clinicians, patients and researchers and aim to come up with maximum of 5 priority areas to focus on.</w:t>
            </w:r>
          </w:p>
          <w:p w14:paraId="6B7BD057" w14:textId="77777777" w:rsidR="00574564" w:rsidRDefault="00574564" w:rsidP="00377418">
            <w:pPr>
              <w:pStyle w:val="ColorfulList-Accent11"/>
              <w:ind w:left="0"/>
              <w:rPr>
                <w:rFonts w:ascii="Lucida Sans" w:hAnsi="Lucida Sans"/>
                <w:sz w:val="20"/>
                <w:szCs w:val="20"/>
              </w:rPr>
            </w:pPr>
          </w:p>
          <w:p w14:paraId="74B5E9BA" w14:textId="4CAAAD3A" w:rsidR="00002F5C" w:rsidRDefault="000209F5" w:rsidP="00022AA1">
            <w:pPr>
              <w:pStyle w:val="ColorfulList-Accent11"/>
              <w:ind w:left="0"/>
              <w:rPr>
                <w:rFonts w:ascii="Lucida Sans" w:hAnsi="Lucida Sans"/>
                <w:sz w:val="20"/>
                <w:szCs w:val="20"/>
              </w:rPr>
            </w:pPr>
            <w:r>
              <w:rPr>
                <w:rFonts w:ascii="Lucida Sans" w:hAnsi="Lucida Sans"/>
                <w:sz w:val="20"/>
                <w:szCs w:val="20"/>
              </w:rPr>
              <w:t xml:space="preserve">MJW reminded the group that the aim is to help develop an infrastructure for research and to bring coherence to the work that is currently being done so important areas get the recognition they deserve. It is also important to encourage inter-disciplinary work. </w:t>
            </w:r>
          </w:p>
          <w:p w14:paraId="01D470B2" w14:textId="77777777" w:rsidR="00002F5C" w:rsidRDefault="00002F5C" w:rsidP="00022AA1">
            <w:pPr>
              <w:pStyle w:val="ColorfulList-Accent11"/>
              <w:ind w:left="0"/>
              <w:rPr>
                <w:rFonts w:ascii="Lucida Sans" w:hAnsi="Lucida Sans"/>
                <w:sz w:val="20"/>
                <w:szCs w:val="20"/>
              </w:rPr>
            </w:pPr>
          </w:p>
          <w:p w14:paraId="4DF41456" w14:textId="1A281B28" w:rsidR="00002F5C" w:rsidRDefault="00002F5C" w:rsidP="00022AA1">
            <w:pPr>
              <w:pStyle w:val="ColorfulList-Accent11"/>
              <w:ind w:left="0"/>
              <w:rPr>
                <w:rFonts w:ascii="Lucida Sans" w:hAnsi="Lucida Sans"/>
                <w:sz w:val="20"/>
                <w:szCs w:val="20"/>
              </w:rPr>
            </w:pPr>
            <w:r>
              <w:rPr>
                <w:rFonts w:ascii="Lucida Sans" w:hAnsi="Lucida Sans"/>
                <w:sz w:val="20"/>
                <w:szCs w:val="20"/>
              </w:rPr>
              <w:t>Although the application for NCRI 2015 was rejected, a number of other routes of communication were discussed, e</w:t>
            </w:r>
            <w:r w:rsidR="00DB390B">
              <w:rPr>
                <w:rFonts w:ascii="Lucida Sans" w:hAnsi="Lucida Sans"/>
                <w:sz w:val="20"/>
                <w:szCs w:val="20"/>
              </w:rPr>
              <w:t xml:space="preserve">g </w:t>
            </w:r>
            <w:r w:rsidR="00574564">
              <w:rPr>
                <w:rFonts w:ascii="Lucida Sans" w:hAnsi="Lucida Sans"/>
                <w:sz w:val="20"/>
                <w:szCs w:val="20"/>
              </w:rPr>
              <w:t xml:space="preserve">give a </w:t>
            </w:r>
            <w:r>
              <w:rPr>
                <w:rFonts w:ascii="Lucida Sans" w:hAnsi="Lucida Sans"/>
                <w:sz w:val="20"/>
                <w:szCs w:val="20"/>
              </w:rPr>
              <w:t>present</w:t>
            </w:r>
            <w:r w:rsidR="00574564">
              <w:rPr>
                <w:rFonts w:ascii="Lucida Sans" w:hAnsi="Lucida Sans"/>
                <w:sz w:val="20"/>
                <w:szCs w:val="20"/>
              </w:rPr>
              <w:t>ation to</w:t>
            </w:r>
            <w:r w:rsidR="00DB390B">
              <w:rPr>
                <w:rFonts w:ascii="Lucida Sans" w:hAnsi="Lucida Sans"/>
                <w:sz w:val="20"/>
                <w:szCs w:val="20"/>
              </w:rPr>
              <w:t xml:space="preserve"> </w:t>
            </w:r>
            <w:r>
              <w:rPr>
                <w:rFonts w:ascii="Lucida Sans" w:hAnsi="Lucida Sans"/>
                <w:sz w:val="20"/>
                <w:szCs w:val="20"/>
              </w:rPr>
              <w:t>CSGs</w:t>
            </w:r>
            <w:r w:rsidR="00DB390B">
              <w:rPr>
                <w:rFonts w:ascii="Lucida Sans" w:hAnsi="Lucida Sans"/>
                <w:sz w:val="20"/>
                <w:szCs w:val="20"/>
              </w:rPr>
              <w:t xml:space="preserve"> (eg the Pall</w:t>
            </w:r>
            <w:r w:rsidR="00864EE8">
              <w:rPr>
                <w:rFonts w:ascii="Lucida Sans" w:hAnsi="Lucida Sans"/>
                <w:sz w:val="20"/>
                <w:szCs w:val="20"/>
              </w:rPr>
              <w:t>i</w:t>
            </w:r>
            <w:r w:rsidR="00331ED7">
              <w:rPr>
                <w:rFonts w:ascii="Lucida Sans" w:hAnsi="Lucida Sans"/>
                <w:sz w:val="20"/>
                <w:szCs w:val="20"/>
              </w:rPr>
              <w:t>ative and Supportive Care CSG; AH will liaise with LT to explore options with this CSG).</w:t>
            </w:r>
            <w:r>
              <w:rPr>
                <w:rFonts w:ascii="Lucida Sans" w:hAnsi="Lucida Sans"/>
                <w:sz w:val="20"/>
                <w:szCs w:val="20"/>
              </w:rPr>
              <w:t xml:space="preserve"> It was agreed that a</w:t>
            </w:r>
            <w:r w:rsidR="00864EE8">
              <w:rPr>
                <w:rFonts w:ascii="Lucida Sans" w:hAnsi="Lucida Sans"/>
                <w:sz w:val="20"/>
                <w:szCs w:val="20"/>
              </w:rPr>
              <w:t xml:space="preserve"> </w:t>
            </w:r>
            <w:r>
              <w:rPr>
                <w:rFonts w:ascii="Lucida Sans" w:hAnsi="Lucida Sans"/>
                <w:sz w:val="20"/>
                <w:szCs w:val="20"/>
              </w:rPr>
              <w:t xml:space="preserve">plan </w:t>
            </w:r>
            <w:r w:rsidR="00864EE8">
              <w:rPr>
                <w:rFonts w:ascii="Lucida Sans" w:hAnsi="Lucida Sans"/>
                <w:sz w:val="20"/>
                <w:szCs w:val="20"/>
              </w:rPr>
              <w:t xml:space="preserve">for disseminating and networking </w:t>
            </w:r>
            <w:r>
              <w:rPr>
                <w:rFonts w:ascii="Lucida Sans" w:hAnsi="Lucida Sans"/>
                <w:sz w:val="20"/>
                <w:szCs w:val="20"/>
              </w:rPr>
              <w:t>should be created for the next year</w:t>
            </w:r>
            <w:r w:rsidR="00864EE8">
              <w:rPr>
                <w:rFonts w:ascii="Lucida Sans" w:hAnsi="Lucida Sans"/>
                <w:sz w:val="20"/>
                <w:szCs w:val="20"/>
              </w:rPr>
              <w:t xml:space="preserve"> of the initiative</w:t>
            </w:r>
            <w:r>
              <w:rPr>
                <w:rFonts w:ascii="Lucida Sans" w:hAnsi="Lucida Sans"/>
                <w:sz w:val="20"/>
                <w:szCs w:val="20"/>
              </w:rPr>
              <w:t>.</w:t>
            </w:r>
          </w:p>
          <w:p w14:paraId="27BCFF83" w14:textId="77777777" w:rsidR="0013655B" w:rsidRPr="00414541" w:rsidRDefault="0013655B" w:rsidP="00022AA1">
            <w:pPr>
              <w:pStyle w:val="ColorfulList-Accent11"/>
              <w:ind w:left="0"/>
              <w:rPr>
                <w:rFonts w:ascii="Lucida Sans" w:hAnsi="Lucida Sans"/>
                <w:sz w:val="20"/>
                <w:szCs w:val="20"/>
              </w:rPr>
            </w:pPr>
            <w:r>
              <w:rPr>
                <w:rFonts w:ascii="Lucida Sans" w:hAnsi="Lucida Sans"/>
                <w:sz w:val="20"/>
                <w:szCs w:val="20"/>
              </w:rPr>
              <w:t xml:space="preserve"> </w:t>
            </w:r>
          </w:p>
        </w:tc>
        <w:tc>
          <w:tcPr>
            <w:tcW w:w="993" w:type="dxa"/>
            <w:shd w:val="clear" w:color="auto" w:fill="auto"/>
          </w:tcPr>
          <w:p w14:paraId="18A30E06" w14:textId="77777777" w:rsidR="005204F5" w:rsidRPr="00414541" w:rsidRDefault="005204F5" w:rsidP="00F902D4">
            <w:pPr>
              <w:jc w:val="center"/>
              <w:rPr>
                <w:sz w:val="20"/>
                <w:szCs w:val="20"/>
              </w:rPr>
            </w:pPr>
          </w:p>
          <w:p w14:paraId="425DAFF5" w14:textId="77777777" w:rsidR="00F902D4" w:rsidRPr="00414541" w:rsidRDefault="00F902D4" w:rsidP="00F902D4">
            <w:pPr>
              <w:jc w:val="center"/>
              <w:rPr>
                <w:sz w:val="20"/>
                <w:szCs w:val="20"/>
              </w:rPr>
            </w:pPr>
          </w:p>
          <w:p w14:paraId="1F341130" w14:textId="77777777" w:rsidR="00F902D4" w:rsidRDefault="00F902D4" w:rsidP="00F902D4">
            <w:pPr>
              <w:jc w:val="center"/>
              <w:rPr>
                <w:sz w:val="20"/>
                <w:szCs w:val="20"/>
              </w:rPr>
            </w:pPr>
          </w:p>
          <w:p w14:paraId="05BFEE99" w14:textId="77777777" w:rsidR="00331ED7" w:rsidRDefault="00331ED7" w:rsidP="00F902D4">
            <w:pPr>
              <w:jc w:val="center"/>
              <w:rPr>
                <w:sz w:val="20"/>
                <w:szCs w:val="20"/>
              </w:rPr>
            </w:pPr>
          </w:p>
          <w:p w14:paraId="2F310454" w14:textId="77777777" w:rsidR="00331ED7" w:rsidRDefault="00331ED7" w:rsidP="00F902D4">
            <w:pPr>
              <w:jc w:val="center"/>
              <w:rPr>
                <w:sz w:val="20"/>
                <w:szCs w:val="20"/>
              </w:rPr>
            </w:pPr>
          </w:p>
          <w:p w14:paraId="067FCC75" w14:textId="77777777" w:rsidR="00331ED7" w:rsidRDefault="00331ED7" w:rsidP="00F902D4">
            <w:pPr>
              <w:jc w:val="center"/>
              <w:rPr>
                <w:sz w:val="20"/>
                <w:szCs w:val="20"/>
              </w:rPr>
            </w:pPr>
          </w:p>
          <w:p w14:paraId="6FD351FC" w14:textId="77777777" w:rsidR="00331ED7" w:rsidRDefault="00331ED7" w:rsidP="00F902D4">
            <w:pPr>
              <w:jc w:val="center"/>
              <w:rPr>
                <w:sz w:val="20"/>
                <w:szCs w:val="20"/>
              </w:rPr>
            </w:pPr>
          </w:p>
          <w:p w14:paraId="18FD1434" w14:textId="77777777" w:rsidR="00331ED7" w:rsidRDefault="00331ED7" w:rsidP="00F902D4">
            <w:pPr>
              <w:jc w:val="center"/>
              <w:rPr>
                <w:sz w:val="20"/>
                <w:szCs w:val="20"/>
              </w:rPr>
            </w:pPr>
          </w:p>
          <w:p w14:paraId="3FFCD8D8" w14:textId="77777777" w:rsidR="00331ED7" w:rsidRDefault="00331ED7" w:rsidP="00F902D4">
            <w:pPr>
              <w:jc w:val="center"/>
              <w:rPr>
                <w:sz w:val="20"/>
                <w:szCs w:val="20"/>
              </w:rPr>
            </w:pPr>
          </w:p>
          <w:p w14:paraId="6217BB05" w14:textId="77777777" w:rsidR="00331ED7" w:rsidRDefault="00331ED7" w:rsidP="00F902D4">
            <w:pPr>
              <w:jc w:val="center"/>
              <w:rPr>
                <w:sz w:val="20"/>
                <w:szCs w:val="20"/>
              </w:rPr>
            </w:pPr>
          </w:p>
          <w:p w14:paraId="436EA5E1" w14:textId="77777777" w:rsidR="00331ED7" w:rsidRDefault="00331ED7" w:rsidP="00F902D4">
            <w:pPr>
              <w:jc w:val="center"/>
              <w:rPr>
                <w:sz w:val="20"/>
                <w:szCs w:val="20"/>
              </w:rPr>
            </w:pPr>
          </w:p>
          <w:p w14:paraId="06DE7445" w14:textId="77777777" w:rsidR="00331ED7" w:rsidRDefault="00331ED7" w:rsidP="00F902D4">
            <w:pPr>
              <w:jc w:val="center"/>
              <w:rPr>
                <w:sz w:val="20"/>
                <w:szCs w:val="20"/>
              </w:rPr>
            </w:pPr>
          </w:p>
          <w:p w14:paraId="1F1F3224" w14:textId="77777777" w:rsidR="00331ED7" w:rsidRDefault="00331ED7" w:rsidP="00F902D4">
            <w:pPr>
              <w:jc w:val="center"/>
              <w:rPr>
                <w:sz w:val="20"/>
                <w:szCs w:val="20"/>
              </w:rPr>
            </w:pPr>
          </w:p>
          <w:p w14:paraId="0AD355F7" w14:textId="77777777" w:rsidR="00331ED7" w:rsidRDefault="00331ED7" w:rsidP="00F902D4">
            <w:pPr>
              <w:jc w:val="center"/>
              <w:rPr>
                <w:sz w:val="20"/>
                <w:szCs w:val="20"/>
              </w:rPr>
            </w:pPr>
          </w:p>
          <w:p w14:paraId="689591C3" w14:textId="77777777" w:rsidR="00331ED7" w:rsidRDefault="00331ED7" w:rsidP="00F902D4">
            <w:pPr>
              <w:jc w:val="center"/>
              <w:rPr>
                <w:sz w:val="20"/>
                <w:szCs w:val="20"/>
              </w:rPr>
            </w:pPr>
          </w:p>
          <w:p w14:paraId="4D05C60C" w14:textId="77777777" w:rsidR="00331ED7" w:rsidRDefault="00331ED7" w:rsidP="00F902D4">
            <w:pPr>
              <w:jc w:val="center"/>
              <w:rPr>
                <w:sz w:val="20"/>
                <w:szCs w:val="20"/>
              </w:rPr>
            </w:pPr>
          </w:p>
          <w:p w14:paraId="718B9CE3" w14:textId="77777777" w:rsidR="00331ED7" w:rsidRDefault="00331ED7" w:rsidP="00F902D4">
            <w:pPr>
              <w:jc w:val="center"/>
              <w:rPr>
                <w:sz w:val="20"/>
                <w:szCs w:val="20"/>
              </w:rPr>
            </w:pPr>
          </w:p>
          <w:p w14:paraId="140EAB33" w14:textId="77777777" w:rsidR="00331ED7" w:rsidRDefault="00331ED7" w:rsidP="00F902D4">
            <w:pPr>
              <w:jc w:val="center"/>
              <w:rPr>
                <w:sz w:val="20"/>
                <w:szCs w:val="20"/>
              </w:rPr>
            </w:pPr>
          </w:p>
          <w:p w14:paraId="11CA8B63" w14:textId="77777777" w:rsidR="00331ED7" w:rsidRDefault="00331ED7" w:rsidP="00F902D4">
            <w:pPr>
              <w:jc w:val="center"/>
              <w:rPr>
                <w:sz w:val="20"/>
                <w:szCs w:val="20"/>
              </w:rPr>
            </w:pPr>
          </w:p>
          <w:p w14:paraId="22520FDC" w14:textId="77777777" w:rsidR="00331ED7" w:rsidRDefault="00331ED7" w:rsidP="00F902D4">
            <w:pPr>
              <w:jc w:val="center"/>
              <w:rPr>
                <w:sz w:val="20"/>
                <w:szCs w:val="20"/>
              </w:rPr>
            </w:pPr>
          </w:p>
          <w:p w14:paraId="41373BEB" w14:textId="77777777" w:rsidR="00331ED7" w:rsidRDefault="00331ED7" w:rsidP="00F902D4">
            <w:pPr>
              <w:jc w:val="center"/>
              <w:rPr>
                <w:sz w:val="20"/>
                <w:szCs w:val="20"/>
              </w:rPr>
            </w:pPr>
          </w:p>
          <w:p w14:paraId="7F028DC5" w14:textId="77777777" w:rsidR="00331ED7" w:rsidRDefault="00331ED7" w:rsidP="00F902D4">
            <w:pPr>
              <w:jc w:val="center"/>
              <w:rPr>
                <w:sz w:val="20"/>
                <w:szCs w:val="20"/>
              </w:rPr>
            </w:pPr>
          </w:p>
          <w:p w14:paraId="2005B1E2" w14:textId="77777777" w:rsidR="00331ED7" w:rsidRDefault="00331ED7" w:rsidP="00F902D4">
            <w:pPr>
              <w:jc w:val="center"/>
              <w:rPr>
                <w:sz w:val="20"/>
                <w:szCs w:val="20"/>
              </w:rPr>
            </w:pPr>
          </w:p>
          <w:p w14:paraId="1585F38F" w14:textId="77777777" w:rsidR="00331ED7" w:rsidRDefault="00331ED7" w:rsidP="00F902D4">
            <w:pPr>
              <w:jc w:val="center"/>
              <w:rPr>
                <w:sz w:val="20"/>
                <w:szCs w:val="20"/>
              </w:rPr>
            </w:pPr>
          </w:p>
          <w:p w14:paraId="4EDD813A" w14:textId="77777777" w:rsidR="00331ED7" w:rsidRDefault="00331ED7" w:rsidP="00F902D4">
            <w:pPr>
              <w:jc w:val="center"/>
              <w:rPr>
                <w:sz w:val="20"/>
                <w:szCs w:val="20"/>
              </w:rPr>
            </w:pPr>
          </w:p>
          <w:p w14:paraId="22B36477" w14:textId="77777777" w:rsidR="00331ED7" w:rsidRDefault="00331ED7" w:rsidP="00F902D4">
            <w:pPr>
              <w:jc w:val="center"/>
              <w:rPr>
                <w:sz w:val="20"/>
                <w:szCs w:val="20"/>
              </w:rPr>
            </w:pPr>
          </w:p>
          <w:p w14:paraId="5721ED44" w14:textId="77777777" w:rsidR="00331ED7" w:rsidRDefault="00331ED7" w:rsidP="00F902D4">
            <w:pPr>
              <w:jc w:val="center"/>
              <w:rPr>
                <w:sz w:val="20"/>
                <w:szCs w:val="20"/>
              </w:rPr>
            </w:pPr>
          </w:p>
          <w:p w14:paraId="4B9820D8" w14:textId="77777777" w:rsidR="00331ED7" w:rsidRDefault="00331ED7" w:rsidP="00F902D4">
            <w:pPr>
              <w:jc w:val="center"/>
              <w:rPr>
                <w:sz w:val="20"/>
                <w:szCs w:val="20"/>
              </w:rPr>
            </w:pPr>
          </w:p>
          <w:p w14:paraId="2630E1D3" w14:textId="77777777" w:rsidR="00331ED7" w:rsidRDefault="00331ED7" w:rsidP="00F902D4">
            <w:pPr>
              <w:jc w:val="center"/>
              <w:rPr>
                <w:sz w:val="20"/>
                <w:szCs w:val="20"/>
              </w:rPr>
            </w:pPr>
          </w:p>
          <w:p w14:paraId="3C542FF2" w14:textId="77777777" w:rsidR="00331ED7" w:rsidRDefault="00331ED7" w:rsidP="00F902D4">
            <w:pPr>
              <w:jc w:val="center"/>
              <w:rPr>
                <w:sz w:val="20"/>
                <w:szCs w:val="20"/>
              </w:rPr>
            </w:pPr>
          </w:p>
          <w:p w14:paraId="04C03E05" w14:textId="77777777" w:rsidR="00331ED7" w:rsidRDefault="00331ED7" w:rsidP="00F902D4">
            <w:pPr>
              <w:jc w:val="center"/>
              <w:rPr>
                <w:sz w:val="20"/>
                <w:szCs w:val="20"/>
              </w:rPr>
            </w:pPr>
          </w:p>
          <w:p w14:paraId="5E17F6E5" w14:textId="77777777" w:rsidR="00331ED7" w:rsidRDefault="00331ED7" w:rsidP="00F902D4">
            <w:pPr>
              <w:jc w:val="center"/>
              <w:rPr>
                <w:sz w:val="20"/>
                <w:szCs w:val="20"/>
              </w:rPr>
            </w:pPr>
          </w:p>
          <w:p w14:paraId="5867880E" w14:textId="77777777" w:rsidR="00331ED7" w:rsidRDefault="00331ED7" w:rsidP="00F902D4">
            <w:pPr>
              <w:jc w:val="center"/>
              <w:rPr>
                <w:sz w:val="20"/>
                <w:szCs w:val="20"/>
              </w:rPr>
            </w:pPr>
          </w:p>
          <w:p w14:paraId="16DB6B43" w14:textId="77777777" w:rsidR="00331ED7" w:rsidRDefault="00331ED7" w:rsidP="00F902D4">
            <w:pPr>
              <w:jc w:val="center"/>
              <w:rPr>
                <w:sz w:val="20"/>
                <w:szCs w:val="20"/>
              </w:rPr>
            </w:pPr>
          </w:p>
          <w:p w14:paraId="7AAEAB93" w14:textId="19F91620" w:rsidR="00331ED7" w:rsidRPr="00414541" w:rsidRDefault="00331ED7" w:rsidP="00F902D4">
            <w:pPr>
              <w:jc w:val="center"/>
              <w:rPr>
                <w:sz w:val="20"/>
                <w:szCs w:val="20"/>
              </w:rPr>
            </w:pPr>
            <w:r>
              <w:rPr>
                <w:sz w:val="20"/>
                <w:szCs w:val="20"/>
              </w:rPr>
              <w:t>AH/LT</w:t>
            </w:r>
          </w:p>
          <w:p w14:paraId="2B842758" w14:textId="77777777" w:rsidR="00222407" w:rsidRPr="00414541" w:rsidRDefault="00222407" w:rsidP="009B0DAE">
            <w:pPr>
              <w:spacing w:before="120"/>
              <w:rPr>
                <w:sz w:val="20"/>
                <w:szCs w:val="20"/>
              </w:rPr>
            </w:pPr>
          </w:p>
        </w:tc>
      </w:tr>
      <w:tr w:rsidR="00D94C81" w:rsidRPr="00414541" w14:paraId="1412AB9F" w14:textId="77777777" w:rsidTr="00961275">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41"/>
        </w:trPr>
        <w:tc>
          <w:tcPr>
            <w:tcW w:w="516" w:type="dxa"/>
            <w:shd w:val="clear" w:color="auto" w:fill="auto"/>
          </w:tcPr>
          <w:p w14:paraId="2400AC55" w14:textId="77777777" w:rsidR="00D94C81" w:rsidRPr="00414541" w:rsidRDefault="00D94C81" w:rsidP="00531217">
            <w:pPr>
              <w:rPr>
                <w:b/>
                <w:sz w:val="20"/>
                <w:szCs w:val="20"/>
              </w:rPr>
            </w:pPr>
            <w:r>
              <w:rPr>
                <w:b/>
                <w:sz w:val="20"/>
                <w:szCs w:val="20"/>
              </w:rPr>
              <w:t xml:space="preserve">5. </w:t>
            </w:r>
          </w:p>
        </w:tc>
        <w:tc>
          <w:tcPr>
            <w:tcW w:w="7989" w:type="dxa"/>
            <w:gridSpan w:val="4"/>
            <w:shd w:val="clear" w:color="auto" w:fill="auto"/>
          </w:tcPr>
          <w:p w14:paraId="48DFFF29" w14:textId="77777777" w:rsidR="00D94C81" w:rsidRDefault="001D2CB5" w:rsidP="00D94C81">
            <w:pPr>
              <w:pStyle w:val="NormalIndent"/>
              <w:spacing w:line="240" w:lineRule="auto"/>
              <w:ind w:left="0"/>
              <w:rPr>
                <w:b/>
                <w:sz w:val="20"/>
                <w:szCs w:val="20"/>
              </w:rPr>
            </w:pPr>
            <w:r>
              <w:rPr>
                <w:b/>
                <w:sz w:val="20"/>
                <w:szCs w:val="20"/>
              </w:rPr>
              <w:t>Priorities and next steps</w:t>
            </w:r>
          </w:p>
          <w:p w14:paraId="544CB045" w14:textId="77777777" w:rsidR="001D2CB5" w:rsidRDefault="001D2CB5" w:rsidP="00D94C81">
            <w:pPr>
              <w:pStyle w:val="NormalIndent"/>
              <w:spacing w:line="240" w:lineRule="auto"/>
              <w:ind w:left="0"/>
              <w:rPr>
                <w:b/>
                <w:sz w:val="20"/>
                <w:szCs w:val="20"/>
              </w:rPr>
            </w:pPr>
          </w:p>
          <w:p w14:paraId="1D1321E2" w14:textId="77777777" w:rsidR="001D2CB5" w:rsidRPr="001D2CB5" w:rsidRDefault="001D2CB5" w:rsidP="00D94C81">
            <w:pPr>
              <w:pStyle w:val="NormalIndent"/>
              <w:spacing w:line="240" w:lineRule="auto"/>
              <w:ind w:left="0"/>
              <w:rPr>
                <w:sz w:val="20"/>
                <w:szCs w:val="20"/>
              </w:rPr>
            </w:pPr>
            <w:r>
              <w:rPr>
                <w:sz w:val="20"/>
                <w:szCs w:val="20"/>
              </w:rPr>
              <w:t xml:space="preserve">The priorities and actions for the next phase are as follows: </w:t>
            </w:r>
          </w:p>
          <w:p w14:paraId="02079447" w14:textId="77777777" w:rsidR="00D94C81" w:rsidRDefault="001D2CB5" w:rsidP="001D2CB5">
            <w:pPr>
              <w:pStyle w:val="NormalIndent"/>
              <w:numPr>
                <w:ilvl w:val="0"/>
                <w:numId w:val="22"/>
              </w:numPr>
              <w:spacing w:line="240" w:lineRule="auto"/>
              <w:rPr>
                <w:sz w:val="20"/>
                <w:szCs w:val="20"/>
              </w:rPr>
            </w:pPr>
            <w:r>
              <w:rPr>
                <w:sz w:val="20"/>
                <w:szCs w:val="20"/>
              </w:rPr>
              <w:t xml:space="preserve">Produce draft report for the next meeting of the Steering Committee (May). </w:t>
            </w:r>
            <w:r w:rsidR="00D94C81">
              <w:rPr>
                <w:sz w:val="20"/>
                <w:szCs w:val="20"/>
              </w:rPr>
              <w:t xml:space="preserve">Include an action plan </w:t>
            </w:r>
            <w:r w:rsidR="00D10B57">
              <w:rPr>
                <w:sz w:val="20"/>
                <w:szCs w:val="20"/>
              </w:rPr>
              <w:t xml:space="preserve">for next steps </w:t>
            </w:r>
            <w:r>
              <w:rPr>
                <w:sz w:val="20"/>
                <w:szCs w:val="20"/>
              </w:rPr>
              <w:t xml:space="preserve">within </w:t>
            </w:r>
            <w:r w:rsidR="00D10B57">
              <w:rPr>
                <w:sz w:val="20"/>
                <w:szCs w:val="20"/>
              </w:rPr>
              <w:t xml:space="preserve">the </w:t>
            </w:r>
            <w:r>
              <w:rPr>
                <w:sz w:val="20"/>
                <w:szCs w:val="20"/>
              </w:rPr>
              <w:t>report</w:t>
            </w:r>
          </w:p>
          <w:p w14:paraId="77D00B9B" w14:textId="77777777" w:rsidR="00D10B57" w:rsidRDefault="00D10B57" w:rsidP="00D10B57">
            <w:pPr>
              <w:pStyle w:val="NormalIndent"/>
              <w:spacing w:line="240" w:lineRule="auto"/>
              <w:rPr>
                <w:sz w:val="20"/>
                <w:szCs w:val="20"/>
              </w:rPr>
            </w:pPr>
          </w:p>
          <w:p w14:paraId="035A32C6" w14:textId="77777777" w:rsidR="001D2CB5" w:rsidRDefault="001D2CB5" w:rsidP="001D2CB5">
            <w:pPr>
              <w:pStyle w:val="NormalIndent"/>
              <w:numPr>
                <w:ilvl w:val="0"/>
                <w:numId w:val="22"/>
              </w:numPr>
              <w:spacing w:line="240" w:lineRule="auto"/>
              <w:rPr>
                <w:sz w:val="20"/>
                <w:szCs w:val="20"/>
              </w:rPr>
            </w:pPr>
            <w:r>
              <w:rPr>
                <w:sz w:val="20"/>
                <w:szCs w:val="20"/>
              </w:rPr>
              <w:t xml:space="preserve">Send ideas for </w:t>
            </w:r>
            <w:r w:rsidR="00D94C81" w:rsidRPr="001D2CB5">
              <w:rPr>
                <w:sz w:val="20"/>
                <w:szCs w:val="20"/>
              </w:rPr>
              <w:t xml:space="preserve">dissemination </w:t>
            </w:r>
            <w:r>
              <w:rPr>
                <w:sz w:val="20"/>
                <w:szCs w:val="20"/>
              </w:rPr>
              <w:t xml:space="preserve">of report </w:t>
            </w:r>
            <w:r w:rsidR="00D94C81" w:rsidRPr="001D2CB5">
              <w:rPr>
                <w:sz w:val="20"/>
                <w:szCs w:val="20"/>
              </w:rPr>
              <w:t>to AKMH</w:t>
            </w:r>
          </w:p>
          <w:p w14:paraId="365A8AE8" w14:textId="77777777" w:rsidR="00D10B57" w:rsidRDefault="00D10B57" w:rsidP="00D10B57">
            <w:pPr>
              <w:pStyle w:val="NormalIndent"/>
              <w:spacing w:line="240" w:lineRule="auto"/>
              <w:rPr>
                <w:sz w:val="20"/>
                <w:szCs w:val="20"/>
              </w:rPr>
            </w:pPr>
          </w:p>
          <w:p w14:paraId="4A8FA9DE" w14:textId="77777777" w:rsidR="00D94C81" w:rsidRPr="001D2CB5" w:rsidRDefault="00D94C81" w:rsidP="001D2CB5">
            <w:pPr>
              <w:pStyle w:val="NormalIndent"/>
              <w:numPr>
                <w:ilvl w:val="0"/>
                <w:numId w:val="22"/>
              </w:numPr>
              <w:spacing w:line="240" w:lineRule="auto"/>
              <w:rPr>
                <w:sz w:val="20"/>
                <w:szCs w:val="20"/>
              </w:rPr>
            </w:pPr>
            <w:r w:rsidRPr="001D2CB5">
              <w:rPr>
                <w:sz w:val="20"/>
                <w:szCs w:val="20"/>
              </w:rPr>
              <w:t xml:space="preserve">NOCRI to </w:t>
            </w:r>
            <w:r w:rsidR="001D2CB5" w:rsidRPr="001D2CB5">
              <w:rPr>
                <w:sz w:val="20"/>
                <w:szCs w:val="20"/>
              </w:rPr>
              <w:t>send invitations for B</w:t>
            </w:r>
            <w:r w:rsidR="001D2CB5">
              <w:rPr>
                <w:sz w:val="20"/>
                <w:szCs w:val="20"/>
              </w:rPr>
              <w:t xml:space="preserve">oard </w:t>
            </w:r>
          </w:p>
          <w:p w14:paraId="04747D59" w14:textId="77777777" w:rsidR="00D94C81" w:rsidRDefault="00D94C81" w:rsidP="00531217">
            <w:pPr>
              <w:pStyle w:val="NormalIndent"/>
              <w:spacing w:line="240" w:lineRule="auto"/>
              <w:ind w:left="0"/>
              <w:rPr>
                <w:b/>
                <w:sz w:val="20"/>
                <w:szCs w:val="20"/>
              </w:rPr>
            </w:pPr>
          </w:p>
        </w:tc>
        <w:tc>
          <w:tcPr>
            <w:tcW w:w="993" w:type="dxa"/>
            <w:shd w:val="clear" w:color="auto" w:fill="auto"/>
          </w:tcPr>
          <w:p w14:paraId="03F96EB1" w14:textId="77777777" w:rsidR="00D94C81" w:rsidRDefault="00D94C81" w:rsidP="00531217">
            <w:pPr>
              <w:rPr>
                <w:sz w:val="20"/>
                <w:szCs w:val="20"/>
              </w:rPr>
            </w:pPr>
          </w:p>
          <w:p w14:paraId="131827FD" w14:textId="77777777" w:rsidR="001D2CB5" w:rsidRDefault="001D2CB5" w:rsidP="00531217">
            <w:pPr>
              <w:rPr>
                <w:sz w:val="20"/>
                <w:szCs w:val="20"/>
              </w:rPr>
            </w:pPr>
          </w:p>
          <w:p w14:paraId="20C2C46B" w14:textId="77777777" w:rsidR="001D2CB5" w:rsidRDefault="001D2CB5" w:rsidP="00531217">
            <w:pPr>
              <w:rPr>
                <w:sz w:val="20"/>
                <w:szCs w:val="20"/>
              </w:rPr>
            </w:pPr>
          </w:p>
          <w:p w14:paraId="6AF5F67D" w14:textId="77777777" w:rsidR="001D2CB5" w:rsidRDefault="001D2CB5" w:rsidP="001D2CB5">
            <w:pPr>
              <w:jc w:val="center"/>
              <w:rPr>
                <w:sz w:val="20"/>
                <w:szCs w:val="20"/>
              </w:rPr>
            </w:pPr>
            <w:r>
              <w:rPr>
                <w:sz w:val="20"/>
                <w:szCs w:val="20"/>
              </w:rPr>
              <w:t>T&amp;F</w:t>
            </w:r>
          </w:p>
          <w:p w14:paraId="78FE0D65" w14:textId="77777777" w:rsidR="00D10B57" w:rsidRDefault="00D10B57" w:rsidP="001D2CB5">
            <w:pPr>
              <w:jc w:val="center"/>
              <w:rPr>
                <w:sz w:val="20"/>
                <w:szCs w:val="20"/>
              </w:rPr>
            </w:pPr>
          </w:p>
          <w:p w14:paraId="4554E2CA" w14:textId="77777777" w:rsidR="001D2CB5" w:rsidRDefault="001D2CB5" w:rsidP="001D2CB5">
            <w:pPr>
              <w:jc w:val="center"/>
              <w:rPr>
                <w:sz w:val="20"/>
                <w:szCs w:val="20"/>
              </w:rPr>
            </w:pPr>
            <w:r>
              <w:rPr>
                <w:sz w:val="20"/>
                <w:szCs w:val="20"/>
              </w:rPr>
              <w:t>ALL</w:t>
            </w:r>
          </w:p>
          <w:p w14:paraId="648D260A" w14:textId="77777777" w:rsidR="00D10B57" w:rsidRDefault="00D10B57" w:rsidP="001D2CB5">
            <w:pPr>
              <w:jc w:val="center"/>
              <w:rPr>
                <w:sz w:val="20"/>
                <w:szCs w:val="20"/>
              </w:rPr>
            </w:pPr>
          </w:p>
          <w:p w14:paraId="15F9327D" w14:textId="77777777" w:rsidR="001D2CB5" w:rsidRPr="00414541" w:rsidRDefault="001D2CB5" w:rsidP="001D2CB5">
            <w:pPr>
              <w:jc w:val="center"/>
              <w:rPr>
                <w:sz w:val="20"/>
                <w:szCs w:val="20"/>
              </w:rPr>
            </w:pPr>
            <w:r>
              <w:rPr>
                <w:sz w:val="20"/>
                <w:szCs w:val="20"/>
              </w:rPr>
              <w:t>LC/LA</w:t>
            </w:r>
          </w:p>
        </w:tc>
      </w:tr>
      <w:tr w:rsidR="005204F5" w:rsidRPr="00414541" w14:paraId="420F0D07" w14:textId="77777777" w:rsidTr="00961275">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971"/>
        </w:trPr>
        <w:tc>
          <w:tcPr>
            <w:tcW w:w="516" w:type="dxa"/>
            <w:shd w:val="clear" w:color="auto" w:fill="auto"/>
          </w:tcPr>
          <w:p w14:paraId="2B4EADCF" w14:textId="77777777" w:rsidR="005204F5" w:rsidRPr="00414541" w:rsidRDefault="00D94C81" w:rsidP="00531217">
            <w:pPr>
              <w:rPr>
                <w:b/>
                <w:sz w:val="20"/>
                <w:szCs w:val="20"/>
              </w:rPr>
            </w:pPr>
            <w:r>
              <w:rPr>
                <w:b/>
                <w:sz w:val="20"/>
                <w:szCs w:val="20"/>
              </w:rPr>
              <w:lastRenderedPageBreak/>
              <w:t xml:space="preserve">6. </w:t>
            </w:r>
          </w:p>
        </w:tc>
        <w:tc>
          <w:tcPr>
            <w:tcW w:w="7989" w:type="dxa"/>
            <w:gridSpan w:val="4"/>
            <w:shd w:val="clear" w:color="auto" w:fill="auto"/>
          </w:tcPr>
          <w:p w14:paraId="046E96C6" w14:textId="77777777" w:rsidR="007F3A15" w:rsidRPr="000C73E1" w:rsidRDefault="005204F5" w:rsidP="00531217">
            <w:pPr>
              <w:pStyle w:val="NormalIndent"/>
              <w:spacing w:line="240" w:lineRule="auto"/>
              <w:ind w:left="0"/>
              <w:rPr>
                <w:b/>
                <w:sz w:val="20"/>
                <w:szCs w:val="20"/>
              </w:rPr>
            </w:pPr>
            <w:r w:rsidRPr="00414541">
              <w:rPr>
                <w:b/>
                <w:sz w:val="20"/>
                <w:szCs w:val="20"/>
              </w:rPr>
              <w:t>AOB</w:t>
            </w:r>
          </w:p>
          <w:p w14:paraId="219AE2BA" w14:textId="77777777" w:rsidR="00F575D9" w:rsidRPr="00414541" w:rsidRDefault="00F575D9" w:rsidP="00531217">
            <w:pPr>
              <w:pStyle w:val="NormalIndent"/>
              <w:spacing w:line="240" w:lineRule="auto"/>
              <w:ind w:left="0"/>
              <w:rPr>
                <w:sz w:val="20"/>
                <w:szCs w:val="20"/>
              </w:rPr>
            </w:pPr>
          </w:p>
          <w:p w14:paraId="4DF8C745" w14:textId="77777777" w:rsidR="005204F5" w:rsidRPr="00414541" w:rsidRDefault="001D2CB5" w:rsidP="008378BC">
            <w:pPr>
              <w:pStyle w:val="NormalIndent"/>
              <w:spacing w:line="240" w:lineRule="auto"/>
              <w:ind w:left="0"/>
              <w:rPr>
                <w:sz w:val="20"/>
                <w:szCs w:val="20"/>
              </w:rPr>
            </w:pPr>
            <w:r>
              <w:rPr>
                <w:sz w:val="20"/>
                <w:szCs w:val="20"/>
              </w:rPr>
              <w:t xml:space="preserve">There was no other business. </w:t>
            </w:r>
          </w:p>
        </w:tc>
        <w:tc>
          <w:tcPr>
            <w:tcW w:w="993" w:type="dxa"/>
            <w:shd w:val="clear" w:color="auto" w:fill="auto"/>
          </w:tcPr>
          <w:p w14:paraId="5C0189C4" w14:textId="77777777" w:rsidR="00F575D9" w:rsidRPr="00414541" w:rsidRDefault="00F575D9" w:rsidP="001D2CB5">
            <w:pPr>
              <w:rPr>
                <w:sz w:val="20"/>
                <w:szCs w:val="20"/>
              </w:rPr>
            </w:pPr>
          </w:p>
        </w:tc>
      </w:tr>
      <w:tr w:rsidR="00BD3A76" w:rsidRPr="00414541" w14:paraId="0E2B7E7B" w14:textId="77777777" w:rsidTr="00961275">
        <w:tblPrEx>
          <w:tblBorders>
            <w:left w:val="single" w:sz="4" w:space="0" w:color="auto"/>
            <w:right w:val="single" w:sz="4" w:space="0" w:color="auto"/>
            <w:insideV w:val="single" w:sz="4" w:space="0" w:color="auto"/>
          </w:tblBorders>
          <w:tblCellMar>
            <w:top w:w="113" w:type="dxa"/>
            <w:left w:w="113" w:type="dxa"/>
            <w:bottom w:w="113" w:type="dxa"/>
            <w:right w:w="113" w:type="dxa"/>
          </w:tblCellMar>
        </w:tblPrEx>
        <w:trPr>
          <w:trHeight w:val="987"/>
        </w:trPr>
        <w:tc>
          <w:tcPr>
            <w:tcW w:w="516" w:type="dxa"/>
            <w:shd w:val="clear" w:color="auto" w:fill="auto"/>
          </w:tcPr>
          <w:p w14:paraId="5673A3CD" w14:textId="77777777" w:rsidR="00BD3A76" w:rsidRPr="00414541" w:rsidRDefault="00D94C81" w:rsidP="00531217">
            <w:pPr>
              <w:rPr>
                <w:b/>
                <w:sz w:val="20"/>
                <w:szCs w:val="20"/>
              </w:rPr>
            </w:pPr>
            <w:r>
              <w:rPr>
                <w:b/>
                <w:sz w:val="20"/>
                <w:szCs w:val="20"/>
              </w:rPr>
              <w:t>7</w:t>
            </w:r>
            <w:r w:rsidR="00E729CB" w:rsidRPr="00414541">
              <w:rPr>
                <w:b/>
                <w:sz w:val="20"/>
                <w:szCs w:val="20"/>
              </w:rPr>
              <w:t>.</w:t>
            </w:r>
          </w:p>
        </w:tc>
        <w:tc>
          <w:tcPr>
            <w:tcW w:w="8982" w:type="dxa"/>
            <w:gridSpan w:val="5"/>
            <w:shd w:val="clear" w:color="auto" w:fill="auto"/>
          </w:tcPr>
          <w:p w14:paraId="2D5FDCA5" w14:textId="77777777" w:rsidR="00A25F55" w:rsidRDefault="00BD3A76" w:rsidP="00531217">
            <w:pPr>
              <w:spacing w:line="240" w:lineRule="auto"/>
              <w:rPr>
                <w:b/>
                <w:sz w:val="20"/>
                <w:szCs w:val="20"/>
              </w:rPr>
            </w:pPr>
            <w:r w:rsidRPr="00414541">
              <w:rPr>
                <w:b/>
                <w:sz w:val="20"/>
                <w:szCs w:val="20"/>
              </w:rPr>
              <w:t xml:space="preserve">Date and </w:t>
            </w:r>
            <w:r w:rsidR="007C77C7" w:rsidRPr="00414541">
              <w:rPr>
                <w:b/>
                <w:sz w:val="20"/>
                <w:szCs w:val="20"/>
              </w:rPr>
              <w:t>host</w:t>
            </w:r>
            <w:r w:rsidRPr="00414541">
              <w:rPr>
                <w:b/>
                <w:sz w:val="20"/>
                <w:szCs w:val="20"/>
              </w:rPr>
              <w:t xml:space="preserve"> of next meeting: </w:t>
            </w:r>
          </w:p>
          <w:p w14:paraId="51A0725E" w14:textId="77777777" w:rsidR="00961275" w:rsidRPr="00414541" w:rsidRDefault="00961275" w:rsidP="00531217">
            <w:pPr>
              <w:spacing w:line="240" w:lineRule="auto"/>
              <w:rPr>
                <w:b/>
                <w:sz w:val="20"/>
                <w:szCs w:val="20"/>
              </w:rPr>
            </w:pPr>
          </w:p>
          <w:p w14:paraId="1350647B" w14:textId="713EFF63" w:rsidR="00BD3A76" w:rsidRPr="00414541" w:rsidRDefault="00BF2496" w:rsidP="00C53737">
            <w:pPr>
              <w:spacing w:line="240" w:lineRule="auto"/>
              <w:rPr>
                <w:sz w:val="20"/>
                <w:szCs w:val="20"/>
              </w:rPr>
            </w:pPr>
            <w:r>
              <w:rPr>
                <w:sz w:val="20"/>
                <w:szCs w:val="20"/>
              </w:rPr>
              <w:t>The next meeting will be hosted by Imperial BRC on Tuesday 12</w:t>
            </w:r>
            <w:r w:rsidRPr="00BF2496">
              <w:rPr>
                <w:sz w:val="20"/>
                <w:szCs w:val="20"/>
              </w:rPr>
              <w:t>th</w:t>
            </w:r>
            <w:r>
              <w:rPr>
                <w:sz w:val="20"/>
                <w:szCs w:val="20"/>
              </w:rPr>
              <w:t xml:space="preserve"> May, (</w:t>
            </w:r>
            <w:r w:rsidRPr="00BF2496">
              <w:rPr>
                <w:sz w:val="20"/>
                <w:szCs w:val="20"/>
              </w:rPr>
              <w:t>Praed Street Room, Imperial College London, St. Mary’s campus, Norfolk Place, London W2 1PG)</w:t>
            </w:r>
          </w:p>
        </w:tc>
      </w:tr>
    </w:tbl>
    <w:p w14:paraId="359FE636" w14:textId="77777777" w:rsidR="00641938" w:rsidRPr="00414541" w:rsidRDefault="00641938" w:rsidP="00531217">
      <w:pPr>
        <w:rPr>
          <w:sz w:val="20"/>
          <w:szCs w:val="20"/>
        </w:rPr>
      </w:pPr>
    </w:p>
    <w:sectPr w:rsidR="00641938" w:rsidRPr="00414541" w:rsidSect="00A25F55">
      <w:footerReference w:type="default" r:id="rId8"/>
      <w:headerReference w:type="first" r:id="rId9"/>
      <w:footerReference w:type="first" r:id="rId10"/>
      <w:pgSz w:w="11906" w:h="16838" w:code="9"/>
      <w:pgMar w:top="1134" w:right="851" w:bottom="1701" w:left="1418" w:header="45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DE7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7021D" w14:textId="77777777" w:rsidR="007A70C2" w:rsidRDefault="007A70C2">
      <w:r>
        <w:separator/>
      </w:r>
    </w:p>
    <w:p w14:paraId="4DF8E22F" w14:textId="77777777" w:rsidR="007A70C2" w:rsidRDefault="007A70C2"/>
  </w:endnote>
  <w:endnote w:type="continuationSeparator" w:id="0">
    <w:p w14:paraId="7B00C31E" w14:textId="77777777" w:rsidR="007A70C2" w:rsidRDefault="007A70C2">
      <w:r>
        <w:continuationSeparator/>
      </w:r>
    </w:p>
    <w:p w14:paraId="674A3DE6" w14:textId="77777777" w:rsidR="007A70C2" w:rsidRDefault="007A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930E" w14:textId="77777777" w:rsidR="007A70C2" w:rsidRDefault="007A70C2" w:rsidP="006846A1">
    <w:pPr>
      <w:pStyle w:val="Footer"/>
      <w:jc w:val="left"/>
    </w:pPr>
    <w:r>
      <w:t xml:space="preserve">Page </w:t>
    </w:r>
    <w:r>
      <w:rPr>
        <w:b/>
      </w:rPr>
      <w:fldChar w:fldCharType="begin"/>
    </w:r>
    <w:r>
      <w:rPr>
        <w:b/>
      </w:rPr>
      <w:instrText xml:space="preserve"> PAGE  \* Arabic  \* MERGEFORMAT </w:instrText>
    </w:r>
    <w:r>
      <w:rPr>
        <w:b/>
      </w:rPr>
      <w:fldChar w:fldCharType="separate"/>
    </w:r>
    <w:r w:rsidR="00F73D19">
      <w:rPr>
        <w:b/>
        <w:noProof/>
      </w:rPr>
      <w:t>3</w:t>
    </w:r>
    <w:r>
      <w:rPr>
        <w:b/>
      </w:rPr>
      <w:fldChar w:fldCharType="end"/>
    </w:r>
    <w:r>
      <w:t xml:space="preserve"> of </w:t>
    </w:r>
    <w:r w:rsidR="00F73D19">
      <w:fldChar w:fldCharType="begin"/>
    </w:r>
    <w:r w:rsidR="00F73D19">
      <w:instrText xml:space="preserve"> NUMPAGES  \* Arabic  \* MERGEFORMAT </w:instrText>
    </w:r>
    <w:r w:rsidR="00F73D19">
      <w:fldChar w:fldCharType="separate"/>
    </w:r>
    <w:r w:rsidR="00F73D19" w:rsidRPr="00F73D19">
      <w:rPr>
        <w:b/>
        <w:noProof/>
      </w:rPr>
      <w:t>6</w:t>
    </w:r>
    <w:r w:rsidR="00F73D19">
      <w:rPr>
        <w:b/>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3006" w14:textId="77777777" w:rsidR="007A70C2" w:rsidRPr="00DA2258" w:rsidRDefault="007A70C2" w:rsidP="00DA225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4C436" w14:textId="77777777" w:rsidR="007A70C2" w:rsidRDefault="007A70C2">
      <w:r>
        <w:separator/>
      </w:r>
    </w:p>
    <w:p w14:paraId="28A835A4" w14:textId="77777777" w:rsidR="007A70C2" w:rsidRDefault="007A70C2"/>
  </w:footnote>
  <w:footnote w:type="continuationSeparator" w:id="0">
    <w:p w14:paraId="2C35AF1F" w14:textId="77777777" w:rsidR="007A70C2" w:rsidRDefault="007A70C2">
      <w:r>
        <w:continuationSeparator/>
      </w:r>
    </w:p>
    <w:p w14:paraId="228C0AAF" w14:textId="77777777" w:rsidR="007A70C2" w:rsidRDefault="007A70C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7A70C2" w14:paraId="3F17798B" w14:textId="77777777" w:rsidTr="00854B1E">
      <w:trPr>
        <w:trHeight w:hRule="exact" w:val="227"/>
      </w:trPr>
      <w:tc>
        <w:tcPr>
          <w:tcW w:w="9639" w:type="dxa"/>
        </w:tcPr>
        <w:p w14:paraId="5EE62B49" w14:textId="77777777" w:rsidR="007A70C2" w:rsidRDefault="007A70C2" w:rsidP="0029789A">
          <w:pPr>
            <w:pStyle w:val="Header"/>
          </w:pPr>
        </w:p>
      </w:tc>
    </w:tr>
    <w:tr w:rsidR="007A70C2" w14:paraId="1B0C8A7E" w14:textId="77777777" w:rsidTr="007B43BF">
      <w:trPr>
        <w:trHeight w:val="767"/>
      </w:trPr>
      <w:tc>
        <w:tcPr>
          <w:tcW w:w="9639" w:type="dxa"/>
        </w:tcPr>
        <w:p w14:paraId="029EA42A" w14:textId="703DA3CD" w:rsidR="007A70C2" w:rsidRDefault="007A70C2" w:rsidP="0029789A">
          <w:pPr>
            <w:pStyle w:val="Header"/>
            <w:jc w:val="right"/>
          </w:pPr>
          <w:r>
            <w:rPr>
              <w:noProof/>
              <w:lang w:val="en-US" w:eastAsia="en-US"/>
            </w:rPr>
            <w:drawing>
              <wp:inline distT="0" distB="0" distL="0" distR="0" wp14:anchorId="7F290981" wp14:editId="0BDE7510">
                <wp:extent cx="3484880" cy="310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880" cy="310515"/>
                        </a:xfrm>
                        <a:prstGeom prst="rect">
                          <a:avLst/>
                        </a:prstGeom>
                        <a:noFill/>
                        <a:ln>
                          <a:noFill/>
                        </a:ln>
                      </pic:spPr>
                    </pic:pic>
                  </a:graphicData>
                </a:graphic>
              </wp:inline>
            </w:drawing>
          </w:r>
        </w:p>
      </w:tc>
    </w:tr>
  </w:tbl>
  <w:p w14:paraId="4B29D632" w14:textId="77777777" w:rsidR="007A70C2" w:rsidRDefault="007A70C2" w:rsidP="00FD456F">
    <w:pPr>
      <w:pStyle w:val="DocTitle"/>
    </w:pPr>
    <w:r>
      <w:t xml:space="preserve">Meeting Minutes – </w:t>
    </w:r>
  </w:p>
  <w:p w14:paraId="1F0B2584" w14:textId="77777777" w:rsidR="007A70C2" w:rsidRPr="00DA2258" w:rsidRDefault="007A70C2" w:rsidP="00FD456F">
    <w:pPr>
      <w:pStyle w:val="DocTitle"/>
      <w:rPr>
        <w:sz w:val="44"/>
        <w:szCs w:val="44"/>
      </w:rPr>
    </w:pPr>
    <w:r w:rsidRPr="00DA2258">
      <w:rPr>
        <w:sz w:val="44"/>
        <w:szCs w:val="44"/>
      </w:rPr>
      <w:t>NIHR Southampton Biomedical Research Centre (in Nutrition)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C4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2AF288E"/>
    <w:multiLevelType w:val="hybridMultilevel"/>
    <w:tmpl w:val="BCF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63DB"/>
    <w:multiLevelType w:val="hybridMultilevel"/>
    <w:tmpl w:val="241A5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93602"/>
    <w:multiLevelType w:val="hybridMultilevel"/>
    <w:tmpl w:val="DB1C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07FAF"/>
    <w:multiLevelType w:val="hybridMultilevel"/>
    <w:tmpl w:val="3EA834CE"/>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F463DA"/>
    <w:multiLevelType w:val="hybridMultilevel"/>
    <w:tmpl w:val="982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7796D"/>
    <w:multiLevelType w:val="hybridMultilevel"/>
    <w:tmpl w:val="E4B8056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F813E5"/>
    <w:multiLevelType w:val="hybridMultilevel"/>
    <w:tmpl w:val="D7C2B8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512ECE"/>
    <w:multiLevelType w:val="hybridMultilevel"/>
    <w:tmpl w:val="A7FA9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AC5B55"/>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521C5588"/>
    <w:multiLevelType w:val="hybridMultilevel"/>
    <w:tmpl w:val="A7584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11A1D"/>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A90F12"/>
    <w:multiLevelType w:val="hybridMultilevel"/>
    <w:tmpl w:val="5A5CE9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F9C02B6"/>
    <w:multiLevelType w:val="hybridMultilevel"/>
    <w:tmpl w:val="0D524702"/>
    <w:lvl w:ilvl="0" w:tplc="AA8E78D6">
      <w:start w:val="6"/>
      <w:numFmt w:val="bullet"/>
      <w:lvlText w:val="-"/>
      <w:lvlJc w:val="left"/>
      <w:pPr>
        <w:ind w:left="720" w:hanging="360"/>
      </w:pPr>
      <w:rPr>
        <w:rFonts w:ascii="Lucida Sans" w:eastAsia="SimSu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154F34"/>
    <w:multiLevelType w:val="hybridMultilevel"/>
    <w:tmpl w:val="1CC876A4"/>
    <w:lvl w:ilvl="0" w:tplc="0409000F">
      <w:start w:val="1"/>
      <w:numFmt w:val="decimal"/>
      <w:lvlText w:val="%1."/>
      <w:lvlJc w:val="left"/>
      <w:pPr>
        <w:tabs>
          <w:tab w:val="num" w:pos="720"/>
        </w:tabs>
        <w:ind w:left="720" w:hanging="360"/>
      </w:pPr>
    </w:lvl>
    <w:lvl w:ilvl="1" w:tplc="101A0D0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1"/>
  </w:num>
  <w:num w:numId="3">
    <w:abstractNumId w:val="16"/>
  </w:num>
  <w:num w:numId="4">
    <w:abstractNumId w:val="11"/>
  </w:num>
  <w:num w:numId="5">
    <w:abstractNumId w:val="12"/>
  </w:num>
  <w:num w:numId="6">
    <w:abstractNumId w:val="14"/>
  </w:num>
  <w:num w:numId="7">
    <w:abstractNumId w:val="10"/>
  </w:num>
  <w:num w:numId="8">
    <w:abstractNumId w:val="4"/>
  </w:num>
  <w:num w:numId="9">
    <w:abstractNumId w:val="5"/>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7"/>
  </w:num>
  <w:num w:numId="15">
    <w:abstractNumId w:val="8"/>
  </w:num>
  <w:num w:numId="16">
    <w:abstractNumId w:val="0"/>
  </w:num>
  <w:num w:numId="17">
    <w:abstractNumId w:val="2"/>
  </w:num>
  <w:num w:numId="18">
    <w:abstractNumId w:val="19"/>
  </w:num>
  <w:num w:numId="19">
    <w:abstractNumId w:val="13"/>
  </w:num>
  <w:num w:numId="20">
    <w:abstractNumId w:val="15"/>
  </w:num>
  <w:num w:numId="21">
    <w:abstractNumId w:val="3"/>
  </w:num>
  <w:num w:numId="22">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SUTable"/>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1E"/>
    <w:rsid w:val="0000043D"/>
    <w:rsid w:val="00002F5C"/>
    <w:rsid w:val="00011260"/>
    <w:rsid w:val="0001222D"/>
    <w:rsid w:val="00015087"/>
    <w:rsid w:val="000209F5"/>
    <w:rsid w:val="00022AA1"/>
    <w:rsid w:val="000244BF"/>
    <w:rsid w:val="00024748"/>
    <w:rsid w:val="000309B6"/>
    <w:rsid w:val="0003241F"/>
    <w:rsid w:val="00055BB4"/>
    <w:rsid w:val="00063081"/>
    <w:rsid w:val="00064FFA"/>
    <w:rsid w:val="00071653"/>
    <w:rsid w:val="000824F4"/>
    <w:rsid w:val="000830E6"/>
    <w:rsid w:val="00092C0F"/>
    <w:rsid w:val="000951E0"/>
    <w:rsid w:val="00095A06"/>
    <w:rsid w:val="000978E8"/>
    <w:rsid w:val="000A0BEE"/>
    <w:rsid w:val="000A2A6A"/>
    <w:rsid w:val="000A5837"/>
    <w:rsid w:val="000A6E7B"/>
    <w:rsid w:val="000A7407"/>
    <w:rsid w:val="000B0932"/>
    <w:rsid w:val="000B5465"/>
    <w:rsid w:val="000C3DA5"/>
    <w:rsid w:val="000C4AB7"/>
    <w:rsid w:val="000C73E1"/>
    <w:rsid w:val="000D1510"/>
    <w:rsid w:val="000D357D"/>
    <w:rsid w:val="000E1E2D"/>
    <w:rsid w:val="000E210C"/>
    <w:rsid w:val="000F607B"/>
    <w:rsid w:val="000F6572"/>
    <w:rsid w:val="000F7474"/>
    <w:rsid w:val="00102A1E"/>
    <w:rsid w:val="001040CC"/>
    <w:rsid w:val="0012291A"/>
    <w:rsid w:val="00127024"/>
    <w:rsid w:val="0013655B"/>
    <w:rsid w:val="00143EE1"/>
    <w:rsid w:val="001449DE"/>
    <w:rsid w:val="00151C6D"/>
    <w:rsid w:val="001543A2"/>
    <w:rsid w:val="001555FB"/>
    <w:rsid w:val="00157BAC"/>
    <w:rsid w:val="00164CD7"/>
    <w:rsid w:val="00167EAC"/>
    <w:rsid w:val="00174C42"/>
    <w:rsid w:val="001763AF"/>
    <w:rsid w:val="001779EA"/>
    <w:rsid w:val="0018144C"/>
    <w:rsid w:val="00183CD5"/>
    <w:rsid w:val="001840EA"/>
    <w:rsid w:val="001A6185"/>
    <w:rsid w:val="001B0E87"/>
    <w:rsid w:val="001B555C"/>
    <w:rsid w:val="001B5894"/>
    <w:rsid w:val="001C022C"/>
    <w:rsid w:val="001C5C5C"/>
    <w:rsid w:val="001C633F"/>
    <w:rsid w:val="001D0B37"/>
    <w:rsid w:val="001D1DAA"/>
    <w:rsid w:val="001D2CB5"/>
    <w:rsid w:val="001D360F"/>
    <w:rsid w:val="001D5201"/>
    <w:rsid w:val="001E084A"/>
    <w:rsid w:val="001F73A3"/>
    <w:rsid w:val="00204F28"/>
    <w:rsid w:val="00204FA7"/>
    <w:rsid w:val="00205A31"/>
    <w:rsid w:val="00210C83"/>
    <w:rsid w:val="00212441"/>
    <w:rsid w:val="00214290"/>
    <w:rsid w:val="00222407"/>
    <w:rsid w:val="00236BFE"/>
    <w:rsid w:val="00241441"/>
    <w:rsid w:val="00242B60"/>
    <w:rsid w:val="002437E0"/>
    <w:rsid w:val="0024539C"/>
    <w:rsid w:val="0025187F"/>
    <w:rsid w:val="002535CF"/>
    <w:rsid w:val="002535FF"/>
    <w:rsid w:val="00254722"/>
    <w:rsid w:val="002547F5"/>
    <w:rsid w:val="00260333"/>
    <w:rsid w:val="00260B1D"/>
    <w:rsid w:val="0026126D"/>
    <w:rsid w:val="002661A9"/>
    <w:rsid w:val="002735AF"/>
    <w:rsid w:val="00283E09"/>
    <w:rsid w:val="0029789A"/>
    <w:rsid w:val="002A393A"/>
    <w:rsid w:val="002A5613"/>
    <w:rsid w:val="002A70BE"/>
    <w:rsid w:val="002B1EB0"/>
    <w:rsid w:val="002B2AD9"/>
    <w:rsid w:val="002B5A92"/>
    <w:rsid w:val="002C6198"/>
    <w:rsid w:val="002C6CB4"/>
    <w:rsid w:val="002D293A"/>
    <w:rsid w:val="002D4DF4"/>
    <w:rsid w:val="002D5238"/>
    <w:rsid w:val="002E21B2"/>
    <w:rsid w:val="003034D2"/>
    <w:rsid w:val="00305A83"/>
    <w:rsid w:val="00313CC8"/>
    <w:rsid w:val="003178D9"/>
    <w:rsid w:val="00317E08"/>
    <w:rsid w:val="00320C89"/>
    <w:rsid w:val="00330842"/>
    <w:rsid w:val="00331ED7"/>
    <w:rsid w:val="00335C18"/>
    <w:rsid w:val="00340D7C"/>
    <w:rsid w:val="0034151E"/>
    <w:rsid w:val="00345A1D"/>
    <w:rsid w:val="0035396A"/>
    <w:rsid w:val="0036058C"/>
    <w:rsid w:val="00362DB0"/>
    <w:rsid w:val="00364171"/>
    <w:rsid w:val="00364998"/>
    <w:rsid w:val="00364B2C"/>
    <w:rsid w:val="003701F7"/>
    <w:rsid w:val="00370C5C"/>
    <w:rsid w:val="00377418"/>
    <w:rsid w:val="00384673"/>
    <w:rsid w:val="00384B6E"/>
    <w:rsid w:val="00385190"/>
    <w:rsid w:val="00385979"/>
    <w:rsid w:val="003A30D3"/>
    <w:rsid w:val="003A4C8A"/>
    <w:rsid w:val="003B0262"/>
    <w:rsid w:val="003B0320"/>
    <w:rsid w:val="003B4E4C"/>
    <w:rsid w:val="003B75D7"/>
    <w:rsid w:val="003C0813"/>
    <w:rsid w:val="003D07C2"/>
    <w:rsid w:val="003D2EB8"/>
    <w:rsid w:val="004027BA"/>
    <w:rsid w:val="0040622A"/>
    <w:rsid w:val="00412599"/>
    <w:rsid w:val="00414541"/>
    <w:rsid w:val="004227D4"/>
    <w:rsid w:val="00427DAD"/>
    <w:rsid w:val="0043025B"/>
    <w:rsid w:val="00440FC6"/>
    <w:rsid w:val="00443426"/>
    <w:rsid w:val="00444365"/>
    <w:rsid w:val="00445531"/>
    <w:rsid w:val="00450A54"/>
    <w:rsid w:val="004526AC"/>
    <w:rsid w:val="00453B22"/>
    <w:rsid w:val="00461641"/>
    <w:rsid w:val="00463797"/>
    <w:rsid w:val="00466A7B"/>
    <w:rsid w:val="00474D00"/>
    <w:rsid w:val="0048117C"/>
    <w:rsid w:val="004815B6"/>
    <w:rsid w:val="004835F7"/>
    <w:rsid w:val="004A1E39"/>
    <w:rsid w:val="004A228C"/>
    <w:rsid w:val="004A2F7B"/>
    <w:rsid w:val="004A393C"/>
    <w:rsid w:val="004A4542"/>
    <w:rsid w:val="004B0D40"/>
    <w:rsid w:val="004B2A50"/>
    <w:rsid w:val="004B691F"/>
    <w:rsid w:val="004C09C2"/>
    <w:rsid w:val="004C4935"/>
    <w:rsid w:val="004D750B"/>
    <w:rsid w:val="004E1C43"/>
    <w:rsid w:val="004E4EF2"/>
    <w:rsid w:val="004E6F0B"/>
    <w:rsid w:val="004E73CA"/>
    <w:rsid w:val="004E784C"/>
    <w:rsid w:val="0051744C"/>
    <w:rsid w:val="005204F5"/>
    <w:rsid w:val="00521DE3"/>
    <w:rsid w:val="00524005"/>
    <w:rsid w:val="00531217"/>
    <w:rsid w:val="00531CCC"/>
    <w:rsid w:val="00541CE0"/>
    <w:rsid w:val="00543184"/>
    <w:rsid w:val="005502B8"/>
    <w:rsid w:val="00551E87"/>
    <w:rsid w:val="005534E1"/>
    <w:rsid w:val="00554D47"/>
    <w:rsid w:val="00564CF7"/>
    <w:rsid w:val="00571F03"/>
    <w:rsid w:val="00572DDE"/>
    <w:rsid w:val="0057392A"/>
    <w:rsid w:val="00574564"/>
    <w:rsid w:val="00581798"/>
    <w:rsid w:val="005833D1"/>
    <w:rsid w:val="005836D0"/>
    <w:rsid w:val="005949FA"/>
    <w:rsid w:val="005A1FA9"/>
    <w:rsid w:val="005A2375"/>
    <w:rsid w:val="005B0C72"/>
    <w:rsid w:val="005B22FE"/>
    <w:rsid w:val="005B7D5F"/>
    <w:rsid w:val="005C3A54"/>
    <w:rsid w:val="005C7B5B"/>
    <w:rsid w:val="005D0BCB"/>
    <w:rsid w:val="005D3576"/>
    <w:rsid w:val="005D3C88"/>
    <w:rsid w:val="005D44D1"/>
    <w:rsid w:val="005D6C1A"/>
    <w:rsid w:val="005D727B"/>
    <w:rsid w:val="005D76F1"/>
    <w:rsid w:val="005F5A93"/>
    <w:rsid w:val="005F6A9F"/>
    <w:rsid w:val="00611805"/>
    <w:rsid w:val="00621F28"/>
    <w:rsid w:val="006249FD"/>
    <w:rsid w:val="00641938"/>
    <w:rsid w:val="006525DD"/>
    <w:rsid w:val="00652A46"/>
    <w:rsid w:val="00653228"/>
    <w:rsid w:val="006600E0"/>
    <w:rsid w:val="00662B60"/>
    <w:rsid w:val="00671546"/>
    <w:rsid w:val="0067185D"/>
    <w:rsid w:val="00684385"/>
    <w:rsid w:val="006846A1"/>
    <w:rsid w:val="00693FF5"/>
    <w:rsid w:val="00695D76"/>
    <w:rsid w:val="006B07EA"/>
    <w:rsid w:val="006C3EBD"/>
    <w:rsid w:val="006D1A1A"/>
    <w:rsid w:val="006D77C3"/>
    <w:rsid w:val="006E0949"/>
    <w:rsid w:val="006F230F"/>
    <w:rsid w:val="007023DE"/>
    <w:rsid w:val="0070376B"/>
    <w:rsid w:val="00707326"/>
    <w:rsid w:val="00713DA7"/>
    <w:rsid w:val="007441EE"/>
    <w:rsid w:val="0075286B"/>
    <w:rsid w:val="00752871"/>
    <w:rsid w:val="00755DC6"/>
    <w:rsid w:val="00761108"/>
    <w:rsid w:val="00763988"/>
    <w:rsid w:val="007705A5"/>
    <w:rsid w:val="00771496"/>
    <w:rsid w:val="007833DD"/>
    <w:rsid w:val="007853F0"/>
    <w:rsid w:val="0079197B"/>
    <w:rsid w:val="00796186"/>
    <w:rsid w:val="00796F1E"/>
    <w:rsid w:val="007A0283"/>
    <w:rsid w:val="007A70C2"/>
    <w:rsid w:val="007A77CB"/>
    <w:rsid w:val="007B15D8"/>
    <w:rsid w:val="007B1FFD"/>
    <w:rsid w:val="007B3A51"/>
    <w:rsid w:val="007B43BF"/>
    <w:rsid w:val="007B5434"/>
    <w:rsid w:val="007C6FAA"/>
    <w:rsid w:val="007C77C7"/>
    <w:rsid w:val="007D308E"/>
    <w:rsid w:val="007D33D0"/>
    <w:rsid w:val="007E1A3E"/>
    <w:rsid w:val="007E2D19"/>
    <w:rsid w:val="007F2AEA"/>
    <w:rsid w:val="007F3129"/>
    <w:rsid w:val="007F3A15"/>
    <w:rsid w:val="007F59D4"/>
    <w:rsid w:val="00813A2C"/>
    <w:rsid w:val="008143F6"/>
    <w:rsid w:val="00817184"/>
    <w:rsid w:val="0082020C"/>
    <w:rsid w:val="0082075E"/>
    <w:rsid w:val="00825103"/>
    <w:rsid w:val="00835F46"/>
    <w:rsid w:val="008378BC"/>
    <w:rsid w:val="00840F60"/>
    <w:rsid w:val="00854B1E"/>
    <w:rsid w:val="0085562A"/>
    <w:rsid w:val="00856B8A"/>
    <w:rsid w:val="00864EE8"/>
    <w:rsid w:val="008719F2"/>
    <w:rsid w:val="00883084"/>
    <w:rsid w:val="00883499"/>
    <w:rsid w:val="00883894"/>
    <w:rsid w:val="00885326"/>
    <w:rsid w:val="00890271"/>
    <w:rsid w:val="00891C7E"/>
    <w:rsid w:val="008953D5"/>
    <w:rsid w:val="008A3F52"/>
    <w:rsid w:val="008A452C"/>
    <w:rsid w:val="008A4E8B"/>
    <w:rsid w:val="008A7C28"/>
    <w:rsid w:val="008B1E96"/>
    <w:rsid w:val="008C3C65"/>
    <w:rsid w:val="008E0B11"/>
    <w:rsid w:val="008F7078"/>
    <w:rsid w:val="009025A3"/>
    <w:rsid w:val="00902F41"/>
    <w:rsid w:val="009061D7"/>
    <w:rsid w:val="00913ED1"/>
    <w:rsid w:val="00915593"/>
    <w:rsid w:val="00942D1A"/>
    <w:rsid w:val="00945F4B"/>
    <w:rsid w:val="00946085"/>
    <w:rsid w:val="009464AF"/>
    <w:rsid w:val="009515F3"/>
    <w:rsid w:val="00951FF8"/>
    <w:rsid w:val="00960086"/>
    <w:rsid w:val="00961275"/>
    <w:rsid w:val="00965BFB"/>
    <w:rsid w:val="00970235"/>
    <w:rsid w:val="00970E28"/>
    <w:rsid w:val="0097611B"/>
    <w:rsid w:val="00976606"/>
    <w:rsid w:val="0097784C"/>
    <w:rsid w:val="0098053F"/>
    <w:rsid w:val="00986C32"/>
    <w:rsid w:val="009909C8"/>
    <w:rsid w:val="00991A7B"/>
    <w:rsid w:val="00991BD5"/>
    <w:rsid w:val="009A396F"/>
    <w:rsid w:val="009B0DAE"/>
    <w:rsid w:val="009B7489"/>
    <w:rsid w:val="009D582E"/>
    <w:rsid w:val="009E0B98"/>
    <w:rsid w:val="009E41F3"/>
    <w:rsid w:val="009F7698"/>
    <w:rsid w:val="00A021B7"/>
    <w:rsid w:val="00A05B7E"/>
    <w:rsid w:val="00A06806"/>
    <w:rsid w:val="00A131D9"/>
    <w:rsid w:val="00A23226"/>
    <w:rsid w:val="00A25F55"/>
    <w:rsid w:val="00A328F9"/>
    <w:rsid w:val="00A34296"/>
    <w:rsid w:val="00A4142B"/>
    <w:rsid w:val="00A42451"/>
    <w:rsid w:val="00A440D1"/>
    <w:rsid w:val="00A44CA2"/>
    <w:rsid w:val="00A521A9"/>
    <w:rsid w:val="00A531CF"/>
    <w:rsid w:val="00A714C9"/>
    <w:rsid w:val="00A925C0"/>
    <w:rsid w:val="00A97695"/>
    <w:rsid w:val="00AA3CB5"/>
    <w:rsid w:val="00AA4BD2"/>
    <w:rsid w:val="00AA5D91"/>
    <w:rsid w:val="00AA61F9"/>
    <w:rsid w:val="00AA7E9F"/>
    <w:rsid w:val="00AB4216"/>
    <w:rsid w:val="00AC2B17"/>
    <w:rsid w:val="00AC6ED9"/>
    <w:rsid w:val="00AD3792"/>
    <w:rsid w:val="00AD5396"/>
    <w:rsid w:val="00AE1184"/>
    <w:rsid w:val="00AE1CA0"/>
    <w:rsid w:val="00AE39DC"/>
    <w:rsid w:val="00AE4DC4"/>
    <w:rsid w:val="00AF2F50"/>
    <w:rsid w:val="00AF41B7"/>
    <w:rsid w:val="00AF77FB"/>
    <w:rsid w:val="00B05149"/>
    <w:rsid w:val="00B23E7B"/>
    <w:rsid w:val="00B326B7"/>
    <w:rsid w:val="00B35520"/>
    <w:rsid w:val="00B41D2A"/>
    <w:rsid w:val="00B427AA"/>
    <w:rsid w:val="00B44391"/>
    <w:rsid w:val="00B4693A"/>
    <w:rsid w:val="00B47DE1"/>
    <w:rsid w:val="00B61351"/>
    <w:rsid w:val="00B6386E"/>
    <w:rsid w:val="00B66629"/>
    <w:rsid w:val="00B67314"/>
    <w:rsid w:val="00B7099C"/>
    <w:rsid w:val="00B7376E"/>
    <w:rsid w:val="00B84C12"/>
    <w:rsid w:val="00B97920"/>
    <w:rsid w:val="00BA13D9"/>
    <w:rsid w:val="00BB0F70"/>
    <w:rsid w:val="00BB1F36"/>
    <w:rsid w:val="00BB484F"/>
    <w:rsid w:val="00BB4A42"/>
    <w:rsid w:val="00BB4ADE"/>
    <w:rsid w:val="00BB7F80"/>
    <w:rsid w:val="00BC7026"/>
    <w:rsid w:val="00BC79C6"/>
    <w:rsid w:val="00BD3A76"/>
    <w:rsid w:val="00BD448C"/>
    <w:rsid w:val="00BE342F"/>
    <w:rsid w:val="00BE5F4F"/>
    <w:rsid w:val="00BF0401"/>
    <w:rsid w:val="00BF0864"/>
    <w:rsid w:val="00BF1CC6"/>
    <w:rsid w:val="00BF2496"/>
    <w:rsid w:val="00BF41AE"/>
    <w:rsid w:val="00C01F77"/>
    <w:rsid w:val="00C12F1C"/>
    <w:rsid w:val="00C2289F"/>
    <w:rsid w:val="00C31327"/>
    <w:rsid w:val="00C3404C"/>
    <w:rsid w:val="00C36212"/>
    <w:rsid w:val="00C408FB"/>
    <w:rsid w:val="00C46C12"/>
    <w:rsid w:val="00C53737"/>
    <w:rsid w:val="00C76274"/>
    <w:rsid w:val="00C82F1D"/>
    <w:rsid w:val="00C907D0"/>
    <w:rsid w:val="00CB4605"/>
    <w:rsid w:val="00CB5897"/>
    <w:rsid w:val="00CC65B4"/>
    <w:rsid w:val="00CD04F0"/>
    <w:rsid w:val="00CE3A26"/>
    <w:rsid w:val="00CE4856"/>
    <w:rsid w:val="00CE732D"/>
    <w:rsid w:val="00CE7A8D"/>
    <w:rsid w:val="00CF1D9E"/>
    <w:rsid w:val="00CF5532"/>
    <w:rsid w:val="00D05F78"/>
    <w:rsid w:val="00D10B57"/>
    <w:rsid w:val="00D16D9D"/>
    <w:rsid w:val="00D21D0E"/>
    <w:rsid w:val="00D30C2C"/>
    <w:rsid w:val="00D37C69"/>
    <w:rsid w:val="00D423D7"/>
    <w:rsid w:val="00D528F5"/>
    <w:rsid w:val="00D54AA2"/>
    <w:rsid w:val="00D5587F"/>
    <w:rsid w:val="00D562EA"/>
    <w:rsid w:val="00D567EE"/>
    <w:rsid w:val="00D65B56"/>
    <w:rsid w:val="00D67D41"/>
    <w:rsid w:val="00D67E94"/>
    <w:rsid w:val="00D71EC3"/>
    <w:rsid w:val="00D72CBC"/>
    <w:rsid w:val="00D920C5"/>
    <w:rsid w:val="00D947E0"/>
    <w:rsid w:val="00D94C81"/>
    <w:rsid w:val="00DA2258"/>
    <w:rsid w:val="00DA2982"/>
    <w:rsid w:val="00DA447C"/>
    <w:rsid w:val="00DB390B"/>
    <w:rsid w:val="00DB6E43"/>
    <w:rsid w:val="00DC0C1F"/>
    <w:rsid w:val="00DC508F"/>
    <w:rsid w:val="00DD7300"/>
    <w:rsid w:val="00DE1507"/>
    <w:rsid w:val="00DE166E"/>
    <w:rsid w:val="00DF137F"/>
    <w:rsid w:val="00DF1655"/>
    <w:rsid w:val="00E10C04"/>
    <w:rsid w:val="00E2483B"/>
    <w:rsid w:val="00E25775"/>
    <w:rsid w:val="00E51FCD"/>
    <w:rsid w:val="00E533B4"/>
    <w:rsid w:val="00E63AC1"/>
    <w:rsid w:val="00E657F0"/>
    <w:rsid w:val="00E729CB"/>
    <w:rsid w:val="00E94FAE"/>
    <w:rsid w:val="00E95CEB"/>
    <w:rsid w:val="00EA475A"/>
    <w:rsid w:val="00EB40B2"/>
    <w:rsid w:val="00EB5CD1"/>
    <w:rsid w:val="00EC06A8"/>
    <w:rsid w:val="00EC1161"/>
    <w:rsid w:val="00ED6435"/>
    <w:rsid w:val="00EE745C"/>
    <w:rsid w:val="00F12E28"/>
    <w:rsid w:val="00F20A89"/>
    <w:rsid w:val="00F2274C"/>
    <w:rsid w:val="00F27A6E"/>
    <w:rsid w:val="00F31EBF"/>
    <w:rsid w:val="00F3215A"/>
    <w:rsid w:val="00F4083C"/>
    <w:rsid w:val="00F40E08"/>
    <w:rsid w:val="00F52C34"/>
    <w:rsid w:val="00F575D9"/>
    <w:rsid w:val="00F73D19"/>
    <w:rsid w:val="00F81765"/>
    <w:rsid w:val="00F85DED"/>
    <w:rsid w:val="00F862FF"/>
    <w:rsid w:val="00F902D4"/>
    <w:rsid w:val="00F90CB7"/>
    <w:rsid w:val="00F90F90"/>
    <w:rsid w:val="00F91109"/>
    <w:rsid w:val="00FA16FE"/>
    <w:rsid w:val="00FB0CC8"/>
    <w:rsid w:val="00FB22D1"/>
    <w:rsid w:val="00FC14EB"/>
    <w:rsid w:val="00FC2ADA"/>
    <w:rsid w:val="00FD456F"/>
    <w:rsid w:val="00FE32DE"/>
    <w:rsid w:val="00FE3852"/>
    <w:rsid w:val="00FE6FD7"/>
    <w:rsid w:val="00FF1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62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qFormat="1"/>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5B56"/>
    <w:pPr>
      <w:spacing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5"/>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Subtitle">
    <w:name w:val="Subtitle"/>
    <w:basedOn w:val="Normal"/>
    <w:qFormat/>
    <w:rsid w:val="00362DB0"/>
    <w:pPr>
      <w:spacing w:line="240" w:lineRule="auto"/>
      <w:jc w:val="center"/>
    </w:pPr>
    <w:rPr>
      <w:rFonts w:ascii="Arial" w:hAnsi="Arial"/>
      <w:b/>
      <w:bCs/>
      <w:sz w:val="22"/>
      <w:lang w:eastAsia="en-US"/>
    </w:rPr>
  </w:style>
  <w:style w:type="paragraph" w:styleId="Title">
    <w:name w:val="Title"/>
    <w:basedOn w:val="Normal"/>
    <w:qFormat/>
    <w:rsid w:val="00362DB0"/>
    <w:pPr>
      <w:spacing w:line="240" w:lineRule="auto"/>
      <w:jc w:val="center"/>
    </w:pPr>
    <w:rPr>
      <w:rFonts w:ascii="Arial" w:hAnsi="Arial"/>
      <w:b/>
      <w:bCs/>
      <w:sz w:val="22"/>
      <w:lang w:eastAsia="en-US"/>
    </w:rPr>
  </w:style>
  <w:style w:type="character" w:styleId="Hyperlink">
    <w:name w:val="Hyperlink"/>
    <w:rsid w:val="00F2274C"/>
    <w:rPr>
      <w:color w:val="0000FF"/>
      <w:u w:val="single"/>
    </w:rPr>
  </w:style>
  <w:style w:type="paragraph" w:customStyle="1" w:styleId="ColorfulList-Accent11">
    <w:name w:val="Colorful List - Accent 11"/>
    <w:basedOn w:val="Normal"/>
    <w:qFormat/>
    <w:rsid w:val="007C77C7"/>
    <w:pPr>
      <w:suppressAutoHyphens/>
      <w:spacing w:line="276" w:lineRule="auto"/>
      <w:ind w:left="720"/>
    </w:pPr>
    <w:rPr>
      <w:rFonts w:ascii="Cambria" w:eastAsia="Arial Unicode MS" w:hAnsi="Cambria" w:cs="Calibri"/>
      <w:sz w:val="24"/>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qFormat="1"/>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5B56"/>
    <w:pPr>
      <w:spacing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1779EA"/>
    <w:pPr>
      <w:spacing w:after="60"/>
    </w:pPr>
    <w:rPr>
      <w:rFonts w:ascii="Georgia" w:hAnsi="Georgia"/>
      <w:color w:val="808080"/>
      <w:sz w:val="60"/>
    </w:rPr>
  </w:style>
  <w:style w:type="paragraph" w:customStyle="1" w:styleId="DocSubtitle">
    <w:name w:val="DocSubtitle"/>
    <w:basedOn w:val="DocTitle"/>
    <w:rsid w:val="00241441"/>
    <w:pPr>
      <w:spacing w:before="240" w:after="12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DB6E43"/>
    <w:pPr>
      <w:numPr>
        <w:numId w:val="5"/>
      </w:numPr>
    </w:pPr>
  </w:style>
  <w:style w:type="paragraph" w:customStyle="1" w:styleId="Address">
    <w:name w:val="Address"/>
    <w:basedOn w:val="Normal"/>
    <w:rsid w:val="005D44D1"/>
  </w:style>
  <w:style w:type="paragraph" w:customStyle="1" w:styleId="ContinuationFooter">
    <w:name w:val="Continuation Footer"/>
    <w:basedOn w:val="Footer"/>
    <w:rsid w:val="00913ED1"/>
    <w:rPr>
      <w:noProof/>
      <w:szCs w:val="17"/>
    </w:rPr>
  </w:style>
  <w:style w:type="paragraph" w:styleId="Subtitle">
    <w:name w:val="Subtitle"/>
    <w:basedOn w:val="Normal"/>
    <w:qFormat/>
    <w:rsid w:val="00362DB0"/>
    <w:pPr>
      <w:spacing w:line="240" w:lineRule="auto"/>
      <w:jc w:val="center"/>
    </w:pPr>
    <w:rPr>
      <w:rFonts w:ascii="Arial" w:hAnsi="Arial"/>
      <w:b/>
      <w:bCs/>
      <w:sz w:val="22"/>
      <w:lang w:eastAsia="en-US"/>
    </w:rPr>
  </w:style>
  <w:style w:type="paragraph" w:styleId="Title">
    <w:name w:val="Title"/>
    <w:basedOn w:val="Normal"/>
    <w:qFormat/>
    <w:rsid w:val="00362DB0"/>
    <w:pPr>
      <w:spacing w:line="240" w:lineRule="auto"/>
      <w:jc w:val="center"/>
    </w:pPr>
    <w:rPr>
      <w:rFonts w:ascii="Arial" w:hAnsi="Arial"/>
      <w:b/>
      <w:bCs/>
      <w:sz w:val="22"/>
      <w:lang w:eastAsia="en-US"/>
    </w:rPr>
  </w:style>
  <w:style w:type="character" w:styleId="Hyperlink">
    <w:name w:val="Hyperlink"/>
    <w:rsid w:val="00F2274C"/>
    <w:rPr>
      <w:color w:val="0000FF"/>
      <w:u w:val="single"/>
    </w:rPr>
  </w:style>
  <w:style w:type="paragraph" w:customStyle="1" w:styleId="ColorfulList-Accent11">
    <w:name w:val="Colorful List - Accent 11"/>
    <w:basedOn w:val="Normal"/>
    <w:qFormat/>
    <w:rsid w:val="007C77C7"/>
    <w:pPr>
      <w:suppressAutoHyphens/>
      <w:spacing w:line="276" w:lineRule="auto"/>
      <w:ind w:left="720"/>
    </w:pPr>
    <w:rPr>
      <w:rFonts w:ascii="Cambria" w:eastAsia="Arial Unicode MS" w:hAnsi="Cambria"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568">
      <w:bodyDiv w:val="1"/>
      <w:marLeft w:val="0"/>
      <w:marRight w:val="0"/>
      <w:marTop w:val="0"/>
      <w:marBottom w:val="0"/>
      <w:divBdr>
        <w:top w:val="none" w:sz="0" w:space="0" w:color="auto"/>
        <w:left w:val="none" w:sz="0" w:space="0" w:color="auto"/>
        <w:bottom w:val="none" w:sz="0" w:space="0" w:color="auto"/>
        <w:right w:val="none" w:sz="0" w:space="0" w:color="auto"/>
      </w:divBdr>
    </w:div>
    <w:div w:id="70321793">
      <w:bodyDiv w:val="1"/>
      <w:marLeft w:val="0"/>
      <w:marRight w:val="0"/>
      <w:marTop w:val="0"/>
      <w:marBottom w:val="0"/>
      <w:divBdr>
        <w:top w:val="none" w:sz="0" w:space="0" w:color="auto"/>
        <w:left w:val="none" w:sz="0" w:space="0" w:color="auto"/>
        <w:bottom w:val="none" w:sz="0" w:space="0" w:color="auto"/>
        <w:right w:val="none" w:sz="0" w:space="0" w:color="auto"/>
      </w:divBdr>
      <w:divsChild>
        <w:div w:id="585919935">
          <w:marLeft w:val="0"/>
          <w:marRight w:val="0"/>
          <w:marTop w:val="0"/>
          <w:marBottom w:val="0"/>
          <w:divBdr>
            <w:top w:val="none" w:sz="0" w:space="0" w:color="auto"/>
            <w:left w:val="none" w:sz="0" w:space="0" w:color="auto"/>
            <w:bottom w:val="none" w:sz="0" w:space="0" w:color="auto"/>
            <w:right w:val="none" w:sz="0" w:space="0" w:color="auto"/>
          </w:divBdr>
        </w:div>
        <w:div w:id="779226434">
          <w:marLeft w:val="0"/>
          <w:marRight w:val="0"/>
          <w:marTop w:val="0"/>
          <w:marBottom w:val="0"/>
          <w:divBdr>
            <w:top w:val="none" w:sz="0" w:space="0" w:color="auto"/>
            <w:left w:val="none" w:sz="0" w:space="0" w:color="auto"/>
            <w:bottom w:val="none" w:sz="0" w:space="0" w:color="auto"/>
            <w:right w:val="none" w:sz="0" w:space="0" w:color="auto"/>
          </w:divBdr>
        </w:div>
        <w:div w:id="1771468255">
          <w:marLeft w:val="0"/>
          <w:marRight w:val="0"/>
          <w:marTop w:val="0"/>
          <w:marBottom w:val="0"/>
          <w:divBdr>
            <w:top w:val="none" w:sz="0" w:space="0" w:color="auto"/>
            <w:left w:val="none" w:sz="0" w:space="0" w:color="auto"/>
            <w:bottom w:val="none" w:sz="0" w:space="0" w:color="auto"/>
            <w:right w:val="none" w:sz="0" w:space="0" w:color="auto"/>
          </w:divBdr>
        </w:div>
      </w:divsChild>
    </w:div>
    <w:div w:id="126707896">
      <w:bodyDiv w:val="1"/>
      <w:marLeft w:val="0"/>
      <w:marRight w:val="0"/>
      <w:marTop w:val="0"/>
      <w:marBottom w:val="0"/>
      <w:divBdr>
        <w:top w:val="none" w:sz="0" w:space="0" w:color="auto"/>
        <w:left w:val="none" w:sz="0" w:space="0" w:color="auto"/>
        <w:bottom w:val="none" w:sz="0" w:space="0" w:color="auto"/>
        <w:right w:val="none" w:sz="0" w:space="0" w:color="auto"/>
      </w:divBdr>
    </w:div>
    <w:div w:id="2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221134026">
          <w:marLeft w:val="0"/>
          <w:marRight w:val="0"/>
          <w:marTop w:val="0"/>
          <w:marBottom w:val="0"/>
          <w:divBdr>
            <w:top w:val="none" w:sz="0" w:space="0" w:color="auto"/>
            <w:left w:val="none" w:sz="0" w:space="0" w:color="auto"/>
            <w:bottom w:val="none" w:sz="0" w:space="0" w:color="auto"/>
            <w:right w:val="none" w:sz="0" w:space="0" w:color="auto"/>
          </w:divBdr>
        </w:div>
      </w:divsChild>
    </w:div>
    <w:div w:id="324671302">
      <w:bodyDiv w:val="1"/>
      <w:marLeft w:val="0"/>
      <w:marRight w:val="0"/>
      <w:marTop w:val="0"/>
      <w:marBottom w:val="0"/>
      <w:divBdr>
        <w:top w:val="none" w:sz="0" w:space="0" w:color="auto"/>
        <w:left w:val="none" w:sz="0" w:space="0" w:color="auto"/>
        <w:bottom w:val="none" w:sz="0" w:space="0" w:color="auto"/>
        <w:right w:val="none" w:sz="0" w:space="0" w:color="auto"/>
      </w:divBdr>
    </w:div>
    <w:div w:id="325401398">
      <w:bodyDiv w:val="1"/>
      <w:marLeft w:val="0"/>
      <w:marRight w:val="0"/>
      <w:marTop w:val="0"/>
      <w:marBottom w:val="0"/>
      <w:divBdr>
        <w:top w:val="none" w:sz="0" w:space="0" w:color="auto"/>
        <w:left w:val="none" w:sz="0" w:space="0" w:color="auto"/>
        <w:bottom w:val="none" w:sz="0" w:space="0" w:color="auto"/>
        <w:right w:val="none" w:sz="0" w:space="0" w:color="auto"/>
      </w:divBdr>
    </w:div>
    <w:div w:id="333538439">
      <w:bodyDiv w:val="1"/>
      <w:marLeft w:val="0"/>
      <w:marRight w:val="0"/>
      <w:marTop w:val="0"/>
      <w:marBottom w:val="0"/>
      <w:divBdr>
        <w:top w:val="none" w:sz="0" w:space="0" w:color="auto"/>
        <w:left w:val="none" w:sz="0" w:space="0" w:color="auto"/>
        <w:bottom w:val="none" w:sz="0" w:space="0" w:color="auto"/>
        <w:right w:val="none" w:sz="0" w:space="0" w:color="auto"/>
      </w:divBdr>
    </w:div>
    <w:div w:id="1120681766">
      <w:bodyDiv w:val="1"/>
      <w:marLeft w:val="0"/>
      <w:marRight w:val="0"/>
      <w:marTop w:val="0"/>
      <w:marBottom w:val="0"/>
      <w:divBdr>
        <w:top w:val="none" w:sz="0" w:space="0" w:color="auto"/>
        <w:left w:val="none" w:sz="0" w:space="0" w:color="auto"/>
        <w:bottom w:val="none" w:sz="0" w:space="0" w:color="auto"/>
        <w:right w:val="none" w:sz="0" w:space="0" w:color="auto"/>
      </w:divBdr>
      <w:divsChild>
        <w:div w:id="43767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1758">
              <w:marLeft w:val="0"/>
              <w:marRight w:val="0"/>
              <w:marTop w:val="0"/>
              <w:marBottom w:val="0"/>
              <w:divBdr>
                <w:top w:val="none" w:sz="0" w:space="0" w:color="auto"/>
                <w:left w:val="none" w:sz="0" w:space="0" w:color="auto"/>
                <w:bottom w:val="none" w:sz="0" w:space="0" w:color="auto"/>
                <w:right w:val="none" w:sz="0" w:space="0" w:color="auto"/>
              </w:divBdr>
              <w:divsChild>
                <w:div w:id="15842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6213">
      <w:bodyDiv w:val="1"/>
      <w:marLeft w:val="0"/>
      <w:marRight w:val="0"/>
      <w:marTop w:val="0"/>
      <w:marBottom w:val="0"/>
      <w:divBdr>
        <w:top w:val="none" w:sz="0" w:space="0" w:color="auto"/>
        <w:left w:val="none" w:sz="0" w:space="0" w:color="auto"/>
        <w:bottom w:val="none" w:sz="0" w:space="0" w:color="auto"/>
        <w:right w:val="none" w:sz="0" w:space="0" w:color="auto"/>
      </w:divBdr>
    </w:div>
    <w:div w:id="2133670611">
      <w:bodyDiv w:val="1"/>
      <w:marLeft w:val="0"/>
      <w:marRight w:val="0"/>
      <w:marTop w:val="0"/>
      <w:marBottom w:val="0"/>
      <w:divBdr>
        <w:top w:val="none" w:sz="0" w:space="0" w:color="auto"/>
        <w:left w:val="none" w:sz="0" w:space="0" w:color="auto"/>
        <w:bottom w:val="none" w:sz="0" w:space="0" w:color="auto"/>
        <w:right w:val="none" w:sz="0" w:space="0" w:color="auto"/>
      </w:divBdr>
    </w:div>
    <w:div w:id="21357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1827</Words>
  <Characters>10415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 Minutes template</vt:lpstr>
    </vt:vector>
  </TitlesOfParts>
  <Company>Southampton University</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Minutes template</dc:title>
  <dc:creator>Southampton University</dc:creator>
  <cp:keywords>V0.1</cp:keywords>
  <cp:lastModifiedBy>Arabella Hayter</cp:lastModifiedBy>
  <cp:revision>7</cp:revision>
  <cp:lastPrinted>2012-12-10T10:18:00Z</cp:lastPrinted>
  <dcterms:created xsi:type="dcterms:W3CDTF">2015-03-23T10:44:00Z</dcterms:created>
  <dcterms:modified xsi:type="dcterms:W3CDTF">2015-05-12T10:40:00Z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